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57798" w14:textId="040DEFA1" w:rsidR="0073098A" w:rsidRPr="00A15301" w:rsidRDefault="00A15301" w:rsidP="0073098A">
      <w:pPr>
        <w:rPr>
          <w:color w:val="FF0000"/>
        </w:rPr>
      </w:pPr>
      <w:r w:rsidRPr="00A15301">
        <w:rPr>
          <w:rFonts w:cs="Arial"/>
          <w:b/>
          <w:bCs/>
          <w:color w:val="FF0000"/>
        </w:rPr>
        <w:t>Please n</w:t>
      </w:r>
      <w:r>
        <w:rPr>
          <w:rFonts w:cs="Arial"/>
          <w:b/>
          <w:bCs/>
          <w:color w:val="FF0000"/>
        </w:rPr>
        <w:t>ote that this document is a</w:t>
      </w:r>
      <w:r w:rsidRPr="00A15301">
        <w:rPr>
          <w:rFonts w:cs="Arial"/>
          <w:b/>
          <w:bCs/>
          <w:color w:val="FF0000"/>
        </w:rPr>
        <w:t xml:space="preserve"> non-b</w:t>
      </w:r>
      <w:r>
        <w:rPr>
          <w:rFonts w:cs="Arial"/>
          <w:b/>
          <w:bCs/>
          <w:color w:val="FF0000"/>
        </w:rPr>
        <w:t>inding convenience translation.</w:t>
      </w:r>
      <w:r w:rsidRPr="00A15301">
        <w:rPr>
          <w:rFonts w:cs="Arial"/>
          <w:b/>
          <w:bCs/>
          <w:color w:val="FF0000"/>
        </w:rPr>
        <w:t xml:space="preserve"> Only the German version of </w:t>
      </w:r>
      <w:r>
        <w:rPr>
          <w:rFonts w:cs="Arial"/>
          <w:b/>
          <w:bCs/>
          <w:color w:val="FF0000"/>
        </w:rPr>
        <w:t>the document has</w:t>
      </w:r>
      <w:r w:rsidRPr="00A15301">
        <w:rPr>
          <w:rFonts w:cs="Arial"/>
          <w:b/>
          <w:bCs/>
          <w:color w:val="FF0000"/>
        </w:rPr>
        <w:t xml:space="preserve"> legal validity.</w:t>
      </w:r>
    </w:p>
    <w:p w14:paraId="6B635C0A" w14:textId="5DCEE158" w:rsidR="00A15301" w:rsidRDefault="00A15301" w:rsidP="0073098A"/>
    <w:p w14:paraId="64A7D498" w14:textId="77777777" w:rsidR="00A15301" w:rsidRDefault="00A15301" w:rsidP="0073098A"/>
    <w:p w14:paraId="6989B77E" w14:textId="77777777" w:rsidR="0073098A" w:rsidRDefault="0073098A" w:rsidP="00432569">
      <w:pPr>
        <w:pStyle w:val="Titel"/>
      </w:pPr>
      <w:r>
        <w:t xml:space="preserve">Examination Regulations </w:t>
      </w:r>
    </w:p>
    <w:p w14:paraId="63513C3B" w14:textId="0E2BABB0" w:rsidR="0073098A" w:rsidRDefault="008D5335" w:rsidP="00432569">
      <w:pPr>
        <w:pStyle w:val="Titel"/>
      </w:pPr>
      <w:r>
        <w:t>o</w:t>
      </w:r>
      <w:r w:rsidR="0073098A">
        <w:t xml:space="preserve">f Faculty </w:t>
      </w:r>
      <w:r w:rsidR="0073098A">
        <w:rPr>
          <w:color w:val="FF0000"/>
        </w:rPr>
        <w:t>▀</w:t>
      </w:r>
    </w:p>
    <w:p w14:paraId="3E808D02" w14:textId="77777777" w:rsidR="0073098A" w:rsidRDefault="0073098A" w:rsidP="00432569">
      <w:pPr>
        <w:pStyle w:val="Titel"/>
      </w:pPr>
      <w:r>
        <w:t xml:space="preserve">at Johannes Gutenberg University Mainz </w:t>
      </w:r>
    </w:p>
    <w:p w14:paraId="64AE5CF1" w14:textId="0EA3ECA0" w:rsidR="0073098A" w:rsidRDefault="0073098A" w:rsidP="00432569">
      <w:pPr>
        <w:pStyle w:val="Titel"/>
      </w:pPr>
      <w:r>
        <w:t>for the Examination in the Master’s</w:t>
      </w:r>
      <w:r w:rsidR="00B57370">
        <w:t xml:space="preserve"> Degree</w:t>
      </w:r>
      <w:r>
        <w:t xml:space="preserve"> Program</w:t>
      </w:r>
    </w:p>
    <w:p w14:paraId="103073E1" w14:textId="77777777" w:rsidR="0073098A" w:rsidRDefault="0073098A" w:rsidP="00432569">
      <w:pPr>
        <w:pStyle w:val="Titel"/>
      </w:pPr>
    </w:p>
    <w:p w14:paraId="2DDA288D" w14:textId="77777777" w:rsidR="0073098A" w:rsidRDefault="0073098A" w:rsidP="00432569">
      <w:pPr>
        <w:pStyle w:val="Titel"/>
        <w:rPr>
          <w:color w:val="FF0000"/>
        </w:rPr>
      </w:pPr>
      <w:r>
        <w:t xml:space="preserve">from </w:t>
      </w:r>
      <w:r>
        <w:rPr>
          <w:color w:val="FF0000"/>
        </w:rPr>
        <w:t>▀</w:t>
      </w:r>
    </w:p>
    <w:p w14:paraId="25526A56" w14:textId="77777777" w:rsidR="0073098A" w:rsidRDefault="0073098A" w:rsidP="0073098A"/>
    <w:p w14:paraId="65C63929" w14:textId="77777777" w:rsidR="0073098A" w:rsidRPr="0073098A" w:rsidRDefault="0073098A" w:rsidP="0073098A"/>
    <w:p w14:paraId="008BC486" w14:textId="78AF9D69" w:rsidR="0073098A" w:rsidRPr="00950FF1" w:rsidRDefault="0073098A" w:rsidP="0073098A">
      <w:pPr>
        <w:rPr>
          <w:rFonts w:cs="Arial"/>
        </w:rPr>
      </w:pPr>
      <w:r>
        <w:t xml:space="preserve">Based on section 7 </w:t>
      </w:r>
      <w:r w:rsidR="004E444C">
        <w:t>para</w:t>
      </w:r>
      <w:r w:rsidR="00247D04">
        <w:softHyphen/>
      </w:r>
      <w:r w:rsidR="00247D04">
        <w:softHyphen/>
      </w:r>
      <w:r w:rsidR="00247D04">
        <w:softHyphen/>
      </w:r>
      <w:r w:rsidR="00247D04">
        <w:softHyphen/>
      </w:r>
      <w:r w:rsidR="004E444C">
        <w:t>.</w:t>
      </w:r>
      <w:r>
        <w:t xml:space="preserve"> 2 no 2. and section 86 </w:t>
      </w:r>
      <w:r w:rsidR="004E444C">
        <w:t>para.</w:t>
      </w:r>
      <w:r w:rsidR="005C1227">
        <w:t xml:space="preserve"> 2 clause 1</w:t>
      </w:r>
      <w:r>
        <w:t xml:space="preserve"> no. 3 of the Act on Higher Education</w:t>
      </w:r>
      <w:r w:rsidR="000D2128">
        <w:t xml:space="preserve"> (</w:t>
      </w:r>
      <w:r w:rsidR="000D2128" w:rsidRPr="000D2128">
        <w:rPr>
          <w:i/>
        </w:rPr>
        <w:t>Hochschulgesetz- HochSchG</w:t>
      </w:r>
      <w:r w:rsidR="000D2128">
        <w:t>)</w:t>
      </w:r>
      <w:r>
        <w:t xml:space="preserve"> in the version as of November 19, 2010 (GVBl. p. 463), last revised in </w:t>
      </w:r>
      <w:r w:rsidR="00886C7A" w:rsidRPr="00886C7A">
        <w:t>Article 4 of the Act from June 18. 201</w:t>
      </w:r>
      <w:r w:rsidR="00886C7A">
        <w:t>9 (GVBl. p. 101, 103), BS 223-41</w:t>
      </w:r>
      <w:r>
        <w:t xml:space="preserve">, the </w:t>
      </w:r>
      <w:r w:rsidR="002823D1">
        <w:t>C</w:t>
      </w:r>
      <w:r>
        <w:t xml:space="preserve">ouncil of Faculty </w:t>
      </w:r>
      <w:r>
        <w:rPr>
          <w:color w:val="FF0000"/>
        </w:rPr>
        <w:t>▀</w:t>
      </w:r>
      <w:r>
        <w:t xml:space="preserve"> has set these regulations on </w:t>
      </w:r>
      <w:r>
        <w:rPr>
          <w:color w:val="FF0000"/>
        </w:rPr>
        <w:t>▀</w:t>
      </w:r>
      <w:r>
        <w:t xml:space="preserve">  for the examination in the </w:t>
      </w:r>
      <w:r w:rsidR="00B57370">
        <w:t>master’s degree program</w:t>
      </w:r>
      <w:r>
        <w:t xml:space="preserve"> </w:t>
      </w:r>
      <w:r>
        <w:rPr>
          <w:color w:val="FF0000"/>
        </w:rPr>
        <w:t>▀</w:t>
      </w:r>
      <w:r>
        <w:t xml:space="preserve">. The President of Johannes Gutenberg University approved these regulations in writing on </w:t>
      </w:r>
      <w:r>
        <w:rPr>
          <w:color w:val="FF0000"/>
        </w:rPr>
        <w:t>▀</w:t>
      </w:r>
      <w:r>
        <w:t xml:space="preserve">, Az.: </w:t>
      </w:r>
      <w:r>
        <w:rPr>
          <w:color w:val="FF0000"/>
        </w:rPr>
        <w:t xml:space="preserve">▀ </w:t>
      </w:r>
      <w:r>
        <w:t>They are as follows.</w:t>
      </w:r>
    </w:p>
    <w:p w14:paraId="0CFEE801" w14:textId="77777777" w:rsidR="004248AA" w:rsidRDefault="004248AA" w:rsidP="0073098A"/>
    <w:sdt>
      <w:sdtPr>
        <w:rPr>
          <w:rFonts w:eastAsiaTheme="minorHAnsi" w:cstheme="minorBidi"/>
          <w:szCs w:val="22"/>
          <w:lang w:eastAsia="en-US"/>
        </w:rPr>
        <w:id w:val="1980104409"/>
        <w:docPartObj>
          <w:docPartGallery w:val="Table of Contents"/>
          <w:docPartUnique/>
        </w:docPartObj>
      </w:sdtPr>
      <w:sdtEndPr>
        <w:rPr>
          <w:b/>
          <w:bCs/>
        </w:rPr>
      </w:sdtEndPr>
      <w:sdtContent>
        <w:p w14:paraId="1C92C63D" w14:textId="77777777" w:rsidR="00922ACC" w:rsidRDefault="004E444C">
          <w:pPr>
            <w:pStyle w:val="Inhaltsverzeichnisberschrift"/>
          </w:pPr>
          <w:r>
            <w:t>Table of Contents</w:t>
          </w:r>
        </w:p>
        <w:p w14:paraId="0B98D02A" w14:textId="77777777" w:rsidR="00A33735" w:rsidRDefault="00432569">
          <w:pPr>
            <w:pStyle w:val="Verzeichnis1"/>
            <w:tabs>
              <w:tab w:val="left" w:pos="1320"/>
              <w:tab w:val="right" w:leader="dot" w:pos="9062"/>
            </w:tabs>
            <w:rPr>
              <w:rFonts w:asciiTheme="minorHAnsi" w:eastAsiaTheme="minorEastAsia" w:hAnsiTheme="minorHAnsi"/>
              <w:noProof/>
              <w:lang w:val="de-DE" w:eastAsia="de-DE"/>
            </w:rPr>
          </w:pPr>
          <w:r>
            <w:fldChar w:fldCharType="begin"/>
          </w:r>
          <w:r>
            <w:instrText xml:space="preserve"> TOC \o "1-3" \h \z \u </w:instrText>
          </w:r>
          <w:r>
            <w:fldChar w:fldCharType="separate"/>
          </w:r>
          <w:hyperlink w:anchor="_Toc522804399" w:history="1">
            <w:r w:rsidR="00A33735" w:rsidRPr="00956D05">
              <w:rPr>
                <w:rStyle w:val="Hyperlink"/>
                <w:noProof/>
              </w:rPr>
              <w:t>Section 1</w:t>
            </w:r>
            <w:r w:rsidR="00A33735">
              <w:rPr>
                <w:rFonts w:asciiTheme="minorHAnsi" w:eastAsiaTheme="minorEastAsia" w:hAnsiTheme="minorHAnsi"/>
                <w:noProof/>
                <w:lang w:val="de-DE" w:eastAsia="de-DE"/>
              </w:rPr>
              <w:tab/>
            </w:r>
            <w:r w:rsidR="00A33735" w:rsidRPr="00956D05">
              <w:rPr>
                <w:rStyle w:val="Hyperlink"/>
                <w:noProof/>
              </w:rPr>
              <w:t xml:space="preserve"> Scope, Degree Objectives, Purpose of the Master’s Examination, Academic Degree</w:t>
            </w:r>
            <w:r w:rsidR="00A33735">
              <w:rPr>
                <w:noProof/>
                <w:webHidden/>
              </w:rPr>
              <w:tab/>
            </w:r>
            <w:r w:rsidR="00A33735">
              <w:rPr>
                <w:noProof/>
                <w:webHidden/>
              </w:rPr>
              <w:fldChar w:fldCharType="begin"/>
            </w:r>
            <w:r w:rsidR="00A33735">
              <w:rPr>
                <w:noProof/>
                <w:webHidden/>
              </w:rPr>
              <w:instrText xml:space="preserve"> PAGEREF _Toc522804399 \h </w:instrText>
            </w:r>
            <w:r w:rsidR="00A33735">
              <w:rPr>
                <w:noProof/>
                <w:webHidden/>
              </w:rPr>
            </w:r>
            <w:r w:rsidR="00A33735">
              <w:rPr>
                <w:noProof/>
                <w:webHidden/>
              </w:rPr>
              <w:fldChar w:fldCharType="separate"/>
            </w:r>
            <w:r w:rsidR="00A33735">
              <w:rPr>
                <w:noProof/>
                <w:webHidden/>
              </w:rPr>
              <w:t>3</w:t>
            </w:r>
            <w:r w:rsidR="00A33735">
              <w:rPr>
                <w:noProof/>
                <w:webHidden/>
              </w:rPr>
              <w:fldChar w:fldCharType="end"/>
            </w:r>
          </w:hyperlink>
        </w:p>
        <w:p w14:paraId="00768D9D" w14:textId="77777777" w:rsidR="00A33735" w:rsidRDefault="002C2A76">
          <w:pPr>
            <w:pStyle w:val="Verzeichnis1"/>
            <w:tabs>
              <w:tab w:val="left" w:pos="1320"/>
              <w:tab w:val="right" w:leader="dot" w:pos="9062"/>
            </w:tabs>
            <w:rPr>
              <w:rFonts w:asciiTheme="minorHAnsi" w:eastAsiaTheme="minorEastAsia" w:hAnsiTheme="minorHAnsi"/>
              <w:noProof/>
              <w:lang w:val="de-DE" w:eastAsia="de-DE"/>
            </w:rPr>
          </w:pPr>
          <w:hyperlink w:anchor="_Toc522804400" w:history="1">
            <w:r w:rsidR="00A33735" w:rsidRPr="00956D05">
              <w:rPr>
                <w:rStyle w:val="Hyperlink"/>
                <w:noProof/>
              </w:rPr>
              <w:t>Section 2</w:t>
            </w:r>
            <w:r w:rsidR="00A33735">
              <w:rPr>
                <w:rFonts w:asciiTheme="minorHAnsi" w:eastAsiaTheme="minorEastAsia" w:hAnsiTheme="minorHAnsi"/>
                <w:noProof/>
                <w:lang w:val="de-DE" w:eastAsia="de-DE"/>
              </w:rPr>
              <w:tab/>
            </w:r>
            <w:r w:rsidR="00A33735" w:rsidRPr="00956D05">
              <w:rPr>
                <w:rStyle w:val="Hyperlink"/>
                <w:noProof/>
              </w:rPr>
              <w:t xml:space="preserve"> Admission Requirements</w:t>
            </w:r>
            <w:r w:rsidR="00A33735">
              <w:rPr>
                <w:noProof/>
                <w:webHidden/>
              </w:rPr>
              <w:tab/>
            </w:r>
            <w:r w:rsidR="00A33735">
              <w:rPr>
                <w:noProof/>
                <w:webHidden/>
              </w:rPr>
              <w:fldChar w:fldCharType="begin"/>
            </w:r>
            <w:r w:rsidR="00A33735">
              <w:rPr>
                <w:noProof/>
                <w:webHidden/>
              </w:rPr>
              <w:instrText xml:space="preserve"> PAGEREF _Toc522804400 \h </w:instrText>
            </w:r>
            <w:r w:rsidR="00A33735">
              <w:rPr>
                <w:noProof/>
                <w:webHidden/>
              </w:rPr>
            </w:r>
            <w:r w:rsidR="00A33735">
              <w:rPr>
                <w:noProof/>
                <w:webHidden/>
              </w:rPr>
              <w:fldChar w:fldCharType="separate"/>
            </w:r>
            <w:r w:rsidR="00A33735">
              <w:rPr>
                <w:noProof/>
                <w:webHidden/>
              </w:rPr>
              <w:t>3</w:t>
            </w:r>
            <w:r w:rsidR="00A33735">
              <w:rPr>
                <w:noProof/>
                <w:webHidden/>
              </w:rPr>
              <w:fldChar w:fldCharType="end"/>
            </w:r>
          </w:hyperlink>
        </w:p>
        <w:p w14:paraId="5F2375E8" w14:textId="77777777" w:rsidR="00A33735" w:rsidRDefault="002C2A76">
          <w:pPr>
            <w:pStyle w:val="Verzeichnis1"/>
            <w:tabs>
              <w:tab w:val="left" w:pos="1320"/>
              <w:tab w:val="right" w:leader="dot" w:pos="9062"/>
            </w:tabs>
            <w:rPr>
              <w:rFonts w:asciiTheme="minorHAnsi" w:eastAsiaTheme="minorEastAsia" w:hAnsiTheme="minorHAnsi"/>
              <w:noProof/>
              <w:lang w:val="de-DE" w:eastAsia="de-DE"/>
            </w:rPr>
          </w:pPr>
          <w:hyperlink w:anchor="_Toc522804401" w:history="1">
            <w:r w:rsidR="00A33735" w:rsidRPr="00956D05">
              <w:rPr>
                <w:rStyle w:val="Hyperlink"/>
                <w:noProof/>
              </w:rPr>
              <w:t>Section 3</w:t>
            </w:r>
            <w:r w:rsidR="00A33735">
              <w:rPr>
                <w:rFonts w:asciiTheme="minorHAnsi" w:eastAsiaTheme="minorEastAsia" w:hAnsiTheme="minorHAnsi"/>
                <w:noProof/>
                <w:lang w:val="de-DE" w:eastAsia="de-DE"/>
              </w:rPr>
              <w:tab/>
            </w:r>
            <w:r w:rsidR="00A33735" w:rsidRPr="00956D05">
              <w:rPr>
                <w:rStyle w:val="Hyperlink"/>
                <w:noProof/>
              </w:rPr>
              <w:t xml:space="preserve"> Scope and Type of the Master's Examination</w:t>
            </w:r>
            <w:r w:rsidR="00A33735">
              <w:rPr>
                <w:noProof/>
                <w:webHidden/>
              </w:rPr>
              <w:tab/>
            </w:r>
            <w:r w:rsidR="00A33735">
              <w:rPr>
                <w:noProof/>
                <w:webHidden/>
              </w:rPr>
              <w:fldChar w:fldCharType="begin"/>
            </w:r>
            <w:r w:rsidR="00A33735">
              <w:rPr>
                <w:noProof/>
                <w:webHidden/>
              </w:rPr>
              <w:instrText xml:space="preserve"> PAGEREF _Toc522804401 \h </w:instrText>
            </w:r>
            <w:r w:rsidR="00A33735">
              <w:rPr>
                <w:noProof/>
                <w:webHidden/>
              </w:rPr>
            </w:r>
            <w:r w:rsidR="00A33735">
              <w:rPr>
                <w:noProof/>
                <w:webHidden/>
              </w:rPr>
              <w:fldChar w:fldCharType="separate"/>
            </w:r>
            <w:r w:rsidR="00A33735">
              <w:rPr>
                <w:noProof/>
                <w:webHidden/>
              </w:rPr>
              <w:t>5</w:t>
            </w:r>
            <w:r w:rsidR="00A33735">
              <w:rPr>
                <w:noProof/>
                <w:webHidden/>
              </w:rPr>
              <w:fldChar w:fldCharType="end"/>
            </w:r>
          </w:hyperlink>
        </w:p>
        <w:p w14:paraId="6E6F361F" w14:textId="77777777" w:rsidR="00A33735" w:rsidRDefault="002C2A76">
          <w:pPr>
            <w:pStyle w:val="Verzeichnis1"/>
            <w:tabs>
              <w:tab w:val="right" w:leader="dot" w:pos="9062"/>
            </w:tabs>
            <w:rPr>
              <w:rFonts w:asciiTheme="minorHAnsi" w:eastAsiaTheme="minorEastAsia" w:hAnsiTheme="minorHAnsi"/>
              <w:noProof/>
              <w:lang w:val="de-DE" w:eastAsia="de-DE"/>
            </w:rPr>
          </w:pPr>
          <w:hyperlink w:anchor="_Toc522804402" w:history="1">
            <w:r w:rsidR="00A33735" w:rsidRPr="00956D05">
              <w:rPr>
                <w:rStyle w:val="Hyperlink"/>
                <w:noProof/>
              </w:rPr>
              <w:t>Section 4 Standard Period of Study, Academic Advising, Deadlines</w:t>
            </w:r>
            <w:r w:rsidR="00A33735">
              <w:rPr>
                <w:noProof/>
                <w:webHidden/>
              </w:rPr>
              <w:tab/>
            </w:r>
            <w:r w:rsidR="00A33735">
              <w:rPr>
                <w:noProof/>
                <w:webHidden/>
              </w:rPr>
              <w:fldChar w:fldCharType="begin"/>
            </w:r>
            <w:r w:rsidR="00A33735">
              <w:rPr>
                <w:noProof/>
                <w:webHidden/>
              </w:rPr>
              <w:instrText xml:space="preserve"> PAGEREF _Toc522804402 \h </w:instrText>
            </w:r>
            <w:r w:rsidR="00A33735">
              <w:rPr>
                <w:noProof/>
                <w:webHidden/>
              </w:rPr>
            </w:r>
            <w:r w:rsidR="00A33735">
              <w:rPr>
                <w:noProof/>
                <w:webHidden/>
              </w:rPr>
              <w:fldChar w:fldCharType="separate"/>
            </w:r>
            <w:r w:rsidR="00A33735">
              <w:rPr>
                <w:noProof/>
                <w:webHidden/>
              </w:rPr>
              <w:t>5</w:t>
            </w:r>
            <w:r w:rsidR="00A33735">
              <w:rPr>
                <w:noProof/>
                <w:webHidden/>
              </w:rPr>
              <w:fldChar w:fldCharType="end"/>
            </w:r>
          </w:hyperlink>
        </w:p>
        <w:p w14:paraId="3B7C3DB2" w14:textId="77777777" w:rsidR="00A33735" w:rsidRDefault="002C2A76">
          <w:pPr>
            <w:pStyle w:val="Verzeichnis1"/>
            <w:tabs>
              <w:tab w:val="right" w:leader="dot" w:pos="9062"/>
            </w:tabs>
            <w:rPr>
              <w:rFonts w:asciiTheme="minorHAnsi" w:eastAsiaTheme="minorEastAsia" w:hAnsiTheme="minorHAnsi"/>
              <w:noProof/>
              <w:lang w:val="de-DE" w:eastAsia="de-DE"/>
            </w:rPr>
          </w:pPr>
          <w:hyperlink w:anchor="_Toc522804403" w:history="1">
            <w:r w:rsidR="00A33735" w:rsidRPr="00956D05">
              <w:rPr>
                <w:rStyle w:val="Hyperlink"/>
                <w:noProof/>
              </w:rPr>
              <w:t>Section 5 Modularized Program Structure, Credit System, Active Participation, Coursework, Attendance</w:t>
            </w:r>
            <w:r w:rsidR="00A33735">
              <w:rPr>
                <w:noProof/>
                <w:webHidden/>
              </w:rPr>
              <w:tab/>
            </w:r>
            <w:r w:rsidR="00A33735">
              <w:rPr>
                <w:noProof/>
                <w:webHidden/>
              </w:rPr>
              <w:fldChar w:fldCharType="begin"/>
            </w:r>
            <w:r w:rsidR="00A33735">
              <w:rPr>
                <w:noProof/>
                <w:webHidden/>
              </w:rPr>
              <w:instrText xml:space="preserve"> PAGEREF _Toc522804403 \h </w:instrText>
            </w:r>
            <w:r w:rsidR="00A33735">
              <w:rPr>
                <w:noProof/>
                <w:webHidden/>
              </w:rPr>
            </w:r>
            <w:r w:rsidR="00A33735">
              <w:rPr>
                <w:noProof/>
                <w:webHidden/>
              </w:rPr>
              <w:fldChar w:fldCharType="separate"/>
            </w:r>
            <w:r w:rsidR="00A33735">
              <w:rPr>
                <w:noProof/>
                <w:webHidden/>
              </w:rPr>
              <w:t>6</w:t>
            </w:r>
            <w:r w:rsidR="00A33735">
              <w:rPr>
                <w:noProof/>
                <w:webHidden/>
              </w:rPr>
              <w:fldChar w:fldCharType="end"/>
            </w:r>
          </w:hyperlink>
        </w:p>
        <w:p w14:paraId="2857A803" w14:textId="77777777" w:rsidR="00A33735" w:rsidRDefault="002C2A76">
          <w:pPr>
            <w:pStyle w:val="Verzeichnis1"/>
            <w:tabs>
              <w:tab w:val="right" w:leader="dot" w:pos="9062"/>
            </w:tabs>
            <w:rPr>
              <w:rFonts w:asciiTheme="minorHAnsi" w:eastAsiaTheme="minorEastAsia" w:hAnsiTheme="minorHAnsi"/>
              <w:noProof/>
              <w:lang w:val="de-DE" w:eastAsia="de-DE"/>
            </w:rPr>
          </w:pPr>
          <w:hyperlink w:anchor="_Toc522804404" w:history="1">
            <w:r w:rsidR="00A33735" w:rsidRPr="00956D05">
              <w:rPr>
                <w:rStyle w:val="Hyperlink"/>
                <w:noProof/>
              </w:rPr>
              <w:t>Section 6 Required Coursework and Examinations, Modules</w:t>
            </w:r>
            <w:r w:rsidR="00A33735">
              <w:rPr>
                <w:noProof/>
                <w:webHidden/>
              </w:rPr>
              <w:tab/>
            </w:r>
            <w:r w:rsidR="00A33735">
              <w:rPr>
                <w:noProof/>
                <w:webHidden/>
              </w:rPr>
              <w:fldChar w:fldCharType="begin"/>
            </w:r>
            <w:r w:rsidR="00A33735">
              <w:rPr>
                <w:noProof/>
                <w:webHidden/>
              </w:rPr>
              <w:instrText xml:space="preserve"> PAGEREF _Toc522804404 \h </w:instrText>
            </w:r>
            <w:r w:rsidR="00A33735">
              <w:rPr>
                <w:noProof/>
                <w:webHidden/>
              </w:rPr>
            </w:r>
            <w:r w:rsidR="00A33735">
              <w:rPr>
                <w:noProof/>
                <w:webHidden/>
              </w:rPr>
              <w:fldChar w:fldCharType="separate"/>
            </w:r>
            <w:r w:rsidR="00A33735">
              <w:rPr>
                <w:noProof/>
                <w:webHidden/>
              </w:rPr>
              <w:t>8</w:t>
            </w:r>
            <w:r w:rsidR="00A33735">
              <w:rPr>
                <w:noProof/>
                <w:webHidden/>
              </w:rPr>
              <w:fldChar w:fldCharType="end"/>
            </w:r>
          </w:hyperlink>
        </w:p>
        <w:p w14:paraId="45D54678" w14:textId="77777777" w:rsidR="00A33735" w:rsidRDefault="002C2A76">
          <w:pPr>
            <w:pStyle w:val="Verzeichnis1"/>
            <w:tabs>
              <w:tab w:val="right" w:leader="dot" w:pos="9062"/>
            </w:tabs>
            <w:rPr>
              <w:rFonts w:asciiTheme="minorHAnsi" w:eastAsiaTheme="minorEastAsia" w:hAnsiTheme="minorHAnsi"/>
              <w:noProof/>
              <w:lang w:val="de-DE" w:eastAsia="de-DE"/>
            </w:rPr>
          </w:pPr>
          <w:hyperlink w:anchor="_Toc522804405" w:history="1">
            <w:r w:rsidR="00A33735" w:rsidRPr="00956D05">
              <w:rPr>
                <w:rStyle w:val="Hyperlink"/>
                <w:noProof/>
              </w:rPr>
              <w:t>Section 7 Examination Committee</w:t>
            </w:r>
            <w:r w:rsidR="00A33735">
              <w:rPr>
                <w:noProof/>
                <w:webHidden/>
              </w:rPr>
              <w:tab/>
            </w:r>
            <w:r w:rsidR="00A33735">
              <w:rPr>
                <w:noProof/>
                <w:webHidden/>
              </w:rPr>
              <w:fldChar w:fldCharType="begin"/>
            </w:r>
            <w:r w:rsidR="00A33735">
              <w:rPr>
                <w:noProof/>
                <w:webHidden/>
              </w:rPr>
              <w:instrText xml:space="preserve"> PAGEREF _Toc522804405 \h </w:instrText>
            </w:r>
            <w:r w:rsidR="00A33735">
              <w:rPr>
                <w:noProof/>
                <w:webHidden/>
              </w:rPr>
            </w:r>
            <w:r w:rsidR="00A33735">
              <w:rPr>
                <w:noProof/>
                <w:webHidden/>
              </w:rPr>
              <w:fldChar w:fldCharType="separate"/>
            </w:r>
            <w:r w:rsidR="00A33735">
              <w:rPr>
                <w:noProof/>
                <w:webHidden/>
              </w:rPr>
              <w:t>8</w:t>
            </w:r>
            <w:r w:rsidR="00A33735">
              <w:rPr>
                <w:noProof/>
                <w:webHidden/>
              </w:rPr>
              <w:fldChar w:fldCharType="end"/>
            </w:r>
          </w:hyperlink>
        </w:p>
        <w:p w14:paraId="21FD3918" w14:textId="77777777" w:rsidR="00A33735" w:rsidRDefault="002C2A76">
          <w:pPr>
            <w:pStyle w:val="Verzeichnis1"/>
            <w:tabs>
              <w:tab w:val="right" w:leader="dot" w:pos="9062"/>
            </w:tabs>
            <w:rPr>
              <w:rFonts w:asciiTheme="minorHAnsi" w:eastAsiaTheme="minorEastAsia" w:hAnsiTheme="minorHAnsi"/>
              <w:noProof/>
              <w:lang w:val="de-DE" w:eastAsia="de-DE"/>
            </w:rPr>
          </w:pPr>
          <w:hyperlink w:anchor="_Toc522804406" w:history="1">
            <w:r w:rsidR="00A33735" w:rsidRPr="00956D05">
              <w:rPr>
                <w:rStyle w:val="Hyperlink"/>
                <w:noProof/>
              </w:rPr>
              <w:t>Section 8 Examiners, Observers</w:t>
            </w:r>
            <w:r w:rsidR="00A33735">
              <w:rPr>
                <w:noProof/>
                <w:webHidden/>
              </w:rPr>
              <w:tab/>
            </w:r>
            <w:r w:rsidR="00A33735">
              <w:rPr>
                <w:noProof/>
                <w:webHidden/>
              </w:rPr>
              <w:fldChar w:fldCharType="begin"/>
            </w:r>
            <w:r w:rsidR="00A33735">
              <w:rPr>
                <w:noProof/>
                <w:webHidden/>
              </w:rPr>
              <w:instrText xml:space="preserve"> PAGEREF _Toc522804406 \h </w:instrText>
            </w:r>
            <w:r w:rsidR="00A33735">
              <w:rPr>
                <w:noProof/>
                <w:webHidden/>
              </w:rPr>
            </w:r>
            <w:r w:rsidR="00A33735">
              <w:rPr>
                <w:noProof/>
                <w:webHidden/>
              </w:rPr>
              <w:fldChar w:fldCharType="separate"/>
            </w:r>
            <w:r w:rsidR="00A33735">
              <w:rPr>
                <w:noProof/>
                <w:webHidden/>
              </w:rPr>
              <w:t>9</w:t>
            </w:r>
            <w:r w:rsidR="00A33735">
              <w:rPr>
                <w:noProof/>
                <w:webHidden/>
              </w:rPr>
              <w:fldChar w:fldCharType="end"/>
            </w:r>
          </w:hyperlink>
        </w:p>
        <w:p w14:paraId="0A841CD9" w14:textId="77777777" w:rsidR="00A33735" w:rsidRDefault="002C2A76">
          <w:pPr>
            <w:pStyle w:val="Verzeichnis1"/>
            <w:tabs>
              <w:tab w:val="right" w:leader="dot" w:pos="9062"/>
            </w:tabs>
            <w:rPr>
              <w:rFonts w:asciiTheme="minorHAnsi" w:eastAsiaTheme="minorEastAsia" w:hAnsiTheme="minorHAnsi"/>
              <w:noProof/>
              <w:lang w:val="de-DE" w:eastAsia="de-DE"/>
            </w:rPr>
          </w:pPr>
          <w:hyperlink w:anchor="_Toc522804407" w:history="1">
            <w:r w:rsidR="00A33735" w:rsidRPr="00956D05">
              <w:rPr>
                <w:rStyle w:val="Hyperlink"/>
                <w:noProof/>
              </w:rPr>
              <w:t>Section 9 Recognition of Coursework and Examinations, and Qualifications Acquired Outside of Higher Education Institutions</w:t>
            </w:r>
            <w:r w:rsidR="00A33735">
              <w:rPr>
                <w:noProof/>
                <w:webHidden/>
              </w:rPr>
              <w:tab/>
            </w:r>
            <w:r w:rsidR="00A33735">
              <w:rPr>
                <w:noProof/>
                <w:webHidden/>
              </w:rPr>
              <w:fldChar w:fldCharType="begin"/>
            </w:r>
            <w:r w:rsidR="00A33735">
              <w:rPr>
                <w:noProof/>
                <w:webHidden/>
              </w:rPr>
              <w:instrText xml:space="preserve"> PAGEREF _Toc522804407 \h </w:instrText>
            </w:r>
            <w:r w:rsidR="00A33735">
              <w:rPr>
                <w:noProof/>
                <w:webHidden/>
              </w:rPr>
            </w:r>
            <w:r w:rsidR="00A33735">
              <w:rPr>
                <w:noProof/>
                <w:webHidden/>
              </w:rPr>
              <w:fldChar w:fldCharType="separate"/>
            </w:r>
            <w:r w:rsidR="00A33735">
              <w:rPr>
                <w:noProof/>
                <w:webHidden/>
              </w:rPr>
              <w:t>10</w:t>
            </w:r>
            <w:r w:rsidR="00A33735">
              <w:rPr>
                <w:noProof/>
                <w:webHidden/>
              </w:rPr>
              <w:fldChar w:fldCharType="end"/>
            </w:r>
          </w:hyperlink>
        </w:p>
        <w:p w14:paraId="09535D1E" w14:textId="77777777" w:rsidR="00A33735" w:rsidRDefault="002C2A76">
          <w:pPr>
            <w:pStyle w:val="Verzeichnis1"/>
            <w:tabs>
              <w:tab w:val="right" w:leader="dot" w:pos="9062"/>
            </w:tabs>
            <w:rPr>
              <w:rFonts w:asciiTheme="minorHAnsi" w:eastAsiaTheme="minorEastAsia" w:hAnsiTheme="minorHAnsi"/>
              <w:noProof/>
              <w:lang w:val="de-DE" w:eastAsia="de-DE"/>
            </w:rPr>
          </w:pPr>
          <w:hyperlink w:anchor="_Toc522804408" w:history="1">
            <w:r w:rsidR="00A33735" w:rsidRPr="00956D05">
              <w:rPr>
                <w:rStyle w:val="Hyperlink"/>
                <w:noProof/>
              </w:rPr>
              <w:t>Section 10 Application and Admission to the Master's Examination</w:t>
            </w:r>
            <w:r w:rsidR="00A33735">
              <w:rPr>
                <w:noProof/>
                <w:webHidden/>
              </w:rPr>
              <w:tab/>
            </w:r>
            <w:r w:rsidR="00A33735">
              <w:rPr>
                <w:noProof/>
                <w:webHidden/>
              </w:rPr>
              <w:fldChar w:fldCharType="begin"/>
            </w:r>
            <w:r w:rsidR="00A33735">
              <w:rPr>
                <w:noProof/>
                <w:webHidden/>
              </w:rPr>
              <w:instrText xml:space="preserve"> PAGEREF _Toc522804408 \h </w:instrText>
            </w:r>
            <w:r w:rsidR="00A33735">
              <w:rPr>
                <w:noProof/>
                <w:webHidden/>
              </w:rPr>
            </w:r>
            <w:r w:rsidR="00A33735">
              <w:rPr>
                <w:noProof/>
                <w:webHidden/>
              </w:rPr>
              <w:fldChar w:fldCharType="separate"/>
            </w:r>
            <w:r w:rsidR="00A33735">
              <w:rPr>
                <w:noProof/>
                <w:webHidden/>
              </w:rPr>
              <w:t>10</w:t>
            </w:r>
            <w:r w:rsidR="00A33735">
              <w:rPr>
                <w:noProof/>
                <w:webHidden/>
              </w:rPr>
              <w:fldChar w:fldCharType="end"/>
            </w:r>
          </w:hyperlink>
        </w:p>
        <w:p w14:paraId="5E2808C9" w14:textId="77777777" w:rsidR="00A33735" w:rsidRDefault="002C2A76">
          <w:pPr>
            <w:pStyle w:val="Verzeichnis1"/>
            <w:tabs>
              <w:tab w:val="right" w:leader="dot" w:pos="9062"/>
            </w:tabs>
            <w:rPr>
              <w:rFonts w:asciiTheme="minorHAnsi" w:eastAsiaTheme="minorEastAsia" w:hAnsiTheme="minorHAnsi"/>
              <w:noProof/>
              <w:lang w:val="de-DE" w:eastAsia="de-DE"/>
            </w:rPr>
          </w:pPr>
          <w:hyperlink w:anchor="_Toc522804409" w:history="1">
            <w:r w:rsidR="00A33735" w:rsidRPr="00956D05">
              <w:rPr>
                <w:rStyle w:val="Hyperlink"/>
                <w:noProof/>
              </w:rPr>
              <w:t>Section 11 Practical Module Examinations</w:t>
            </w:r>
            <w:r w:rsidR="00A33735">
              <w:rPr>
                <w:noProof/>
                <w:webHidden/>
              </w:rPr>
              <w:tab/>
            </w:r>
            <w:r w:rsidR="00A33735">
              <w:rPr>
                <w:noProof/>
                <w:webHidden/>
              </w:rPr>
              <w:fldChar w:fldCharType="begin"/>
            </w:r>
            <w:r w:rsidR="00A33735">
              <w:rPr>
                <w:noProof/>
                <w:webHidden/>
              </w:rPr>
              <w:instrText xml:space="preserve"> PAGEREF _Toc522804409 \h </w:instrText>
            </w:r>
            <w:r w:rsidR="00A33735">
              <w:rPr>
                <w:noProof/>
                <w:webHidden/>
              </w:rPr>
            </w:r>
            <w:r w:rsidR="00A33735">
              <w:rPr>
                <w:noProof/>
                <w:webHidden/>
              </w:rPr>
              <w:fldChar w:fldCharType="separate"/>
            </w:r>
            <w:r w:rsidR="00A33735">
              <w:rPr>
                <w:noProof/>
                <w:webHidden/>
              </w:rPr>
              <w:t>11</w:t>
            </w:r>
            <w:r w:rsidR="00A33735">
              <w:rPr>
                <w:noProof/>
                <w:webHidden/>
              </w:rPr>
              <w:fldChar w:fldCharType="end"/>
            </w:r>
          </w:hyperlink>
        </w:p>
        <w:p w14:paraId="40E5EC66" w14:textId="77777777" w:rsidR="00A33735" w:rsidRDefault="002C2A76">
          <w:pPr>
            <w:pStyle w:val="Verzeichnis1"/>
            <w:tabs>
              <w:tab w:val="right" w:leader="dot" w:pos="9062"/>
            </w:tabs>
            <w:rPr>
              <w:rFonts w:asciiTheme="minorHAnsi" w:eastAsiaTheme="minorEastAsia" w:hAnsiTheme="minorHAnsi"/>
              <w:noProof/>
              <w:lang w:val="de-DE" w:eastAsia="de-DE"/>
            </w:rPr>
          </w:pPr>
          <w:hyperlink w:anchor="_Toc522804410" w:history="1">
            <w:r w:rsidR="00A33735" w:rsidRPr="00956D05">
              <w:rPr>
                <w:rStyle w:val="Hyperlink"/>
                <w:noProof/>
              </w:rPr>
              <w:t>Section 12 Oral Module Examinations</w:t>
            </w:r>
            <w:r w:rsidR="00A33735">
              <w:rPr>
                <w:noProof/>
                <w:webHidden/>
              </w:rPr>
              <w:tab/>
            </w:r>
            <w:r w:rsidR="00A33735">
              <w:rPr>
                <w:noProof/>
                <w:webHidden/>
              </w:rPr>
              <w:fldChar w:fldCharType="begin"/>
            </w:r>
            <w:r w:rsidR="00A33735">
              <w:rPr>
                <w:noProof/>
                <w:webHidden/>
              </w:rPr>
              <w:instrText xml:space="preserve"> PAGEREF _Toc522804410 \h </w:instrText>
            </w:r>
            <w:r w:rsidR="00A33735">
              <w:rPr>
                <w:noProof/>
                <w:webHidden/>
              </w:rPr>
            </w:r>
            <w:r w:rsidR="00A33735">
              <w:rPr>
                <w:noProof/>
                <w:webHidden/>
              </w:rPr>
              <w:fldChar w:fldCharType="separate"/>
            </w:r>
            <w:r w:rsidR="00A33735">
              <w:rPr>
                <w:noProof/>
                <w:webHidden/>
              </w:rPr>
              <w:t>12</w:t>
            </w:r>
            <w:r w:rsidR="00A33735">
              <w:rPr>
                <w:noProof/>
                <w:webHidden/>
              </w:rPr>
              <w:fldChar w:fldCharType="end"/>
            </w:r>
          </w:hyperlink>
        </w:p>
        <w:p w14:paraId="4FAAD5AD" w14:textId="77777777" w:rsidR="00A33735" w:rsidRDefault="002C2A76">
          <w:pPr>
            <w:pStyle w:val="Verzeichnis1"/>
            <w:tabs>
              <w:tab w:val="right" w:leader="dot" w:pos="9062"/>
            </w:tabs>
            <w:rPr>
              <w:rFonts w:asciiTheme="minorHAnsi" w:eastAsiaTheme="minorEastAsia" w:hAnsiTheme="minorHAnsi"/>
              <w:noProof/>
              <w:lang w:val="de-DE" w:eastAsia="de-DE"/>
            </w:rPr>
          </w:pPr>
          <w:hyperlink w:anchor="_Toc522804411" w:history="1">
            <w:r w:rsidR="00A33735" w:rsidRPr="00956D05">
              <w:rPr>
                <w:rStyle w:val="Hyperlink"/>
                <w:noProof/>
              </w:rPr>
              <w:t>Section 13 Written Module Examinations, Portfolio Examinations</w:t>
            </w:r>
            <w:r w:rsidR="00A33735">
              <w:rPr>
                <w:noProof/>
                <w:webHidden/>
              </w:rPr>
              <w:tab/>
            </w:r>
            <w:r w:rsidR="00A33735">
              <w:rPr>
                <w:noProof/>
                <w:webHidden/>
              </w:rPr>
              <w:fldChar w:fldCharType="begin"/>
            </w:r>
            <w:r w:rsidR="00A33735">
              <w:rPr>
                <w:noProof/>
                <w:webHidden/>
              </w:rPr>
              <w:instrText xml:space="preserve"> PAGEREF _Toc522804411 \h </w:instrText>
            </w:r>
            <w:r w:rsidR="00A33735">
              <w:rPr>
                <w:noProof/>
                <w:webHidden/>
              </w:rPr>
            </w:r>
            <w:r w:rsidR="00A33735">
              <w:rPr>
                <w:noProof/>
                <w:webHidden/>
              </w:rPr>
              <w:fldChar w:fldCharType="separate"/>
            </w:r>
            <w:r w:rsidR="00A33735">
              <w:rPr>
                <w:noProof/>
                <w:webHidden/>
              </w:rPr>
              <w:t>13</w:t>
            </w:r>
            <w:r w:rsidR="00A33735">
              <w:rPr>
                <w:noProof/>
                <w:webHidden/>
              </w:rPr>
              <w:fldChar w:fldCharType="end"/>
            </w:r>
          </w:hyperlink>
        </w:p>
        <w:p w14:paraId="67D438C5" w14:textId="77777777" w:rsidR="00A33735" w:rsidRDefault="002C2A76">
          <w:pPr>
            <w:pStyle w:val="Verzeichnis1"/>
            <w:tabs>
              <w:tab w:val="right" w:leader="dot" w:pos="9062"/>
            </w:tabs>
            <w:rPr>
              <w:rFonts w:asciiTheme="minorHAnsi" w:eastAsiaTheme="minorEastAsia" w:hAnsiTheme="minorHAnsi"/>
              <w:noProof/>
              <w:lang w:val="de-DE" w:eastAsia="de-DE"/>
            </w:rPr>
          </w:pPr>
          <w:hyperlink w:anchor="_Toc522804412" w:history="1">
            <w:r w:rsidR="00A33735" w:rsidRPr="00956D05">
              <w:rPr>
                <w:rStyle w:val="Hyperlink"/>
                <w:noProof/>
              </w:rPr>
              <w:t>Section 14 Practical Module Examinations</w:t>
            </w:r>
            <w:r w:rsidR="00A33735">
              <w:rPr>
                <w:noProof/>
                <w:webHidden/>
              </w:rPr>
              <w:tab/>
            </w:r>
            <w:r w:rsidR="00A33735">
              <w:rPr>
                <w:noProof/>
                <w:webHidden/>
              </w:rPr>
              <w:fldChar w:fldCharType="begin"/>
            </w:r>
            <w:r w:rsidR="00A33735">
              <w:rPr>
                <w:noProof/>
                <w:webHidden/>
              </w:rPr>
              <w:instrText xml:space="preserve"> PAGEREF _Toc522804412 \h </w:instrText>
            </w:r>
            <w:r w:rsidR="00A33735">
              <w:rPr>
                <w:noProof/>
                <w:webHidden/>
              </w:rPr>
            </w:r>
            <w:r w:rsidR="00A33735">
              <w:rPr>
                <w:noProof/>
                <w:webHidden/>
              </w:rPr>
              <w:fldChar w:fldCharType="separate"/>
            </w:r>
            <w:r w:rsidR="00A33735">
              <w:rPr>
                <w:noProof/>
                <w:webHidden/>
              </w:rPr>
              <w:t>15</w:t>
            </w:r>
            <w:r w:rsidR="00A33735">
              <w:rPr>
                <w:noProof/>
                <w:webHidden/>
              </w:rPr>
              <w:fldChar w:fldCharType="end"/>
            </w:r>
          </w:hyperlink>
        </w:p>
        <w:p w14:paraId="5392BF1F" w14:textId="77777777" w:rsidR="00A33735" w:rsidRDefault="002C2A76">
          <w:pPr>
            <w:pStyle w:val="Verzeichnis1"/>
            <w:tabs>
              <w:tab w:val="right" w:leader="dot" w:pos="9062"/>
            </w:tabs>
            <w:rPr>
              <w:rFonts w:asciiTheme="minorHAnsi" w:eastAsiaTheme="minorEastAsia" w:hAnsiTheme="minorHAnsi"/>
              <w:noProof/>
              <w:lang w:val="de-DE" w:eastAsia="de-DE"/>
            </w:rPr>
          </w:pPr>
          <w:hyperlink w:anchor="_Toc522804413" w:history="1">
            <w:r w:rsidR="00A33735" w:rsidRPr="00956D05">
              <w:rPr>
                <w:rStyle w:val="Hyperlink"/>
                <w:noProof/>
              </w:rPr>
              <w:t>Section 15 Master's Thesis</w:t>
            </w:r>
            <w:r w:rsidR="00A33735">
              <w:rPr>
                <w:noProof/>
                <w:webHidden/>
              </w:rPr>
              <w:tab/>
            </w:r>
            <w:r w:rsidR="00A33735">
              <w:rPr>
                <w:noProof/>
                <w:webHidden/>
              </w:rPr>
              <w:fldChar w:fldCharType="begin"/>
            </w:r>
            <w:r w:rsidR="00A33735">
              <w:rPr>
                <w:noProof/>
                <w:webHidden/>
              </w:rPr>
              <w:instrText xml:space="preserve"> PAGEREF _Toc522804413 \h </w:instrText>
            </w:r>
            <w:r w:rsidR="00A33735">
              <w:rPr>
                <w:noProof/>
                <w:webHidden/>
              </w:rPr>
            </w:r>
            <w:r w:rsidR="00A33735">
              <w:rPr>
                <w:noProof/>
                <w:webHidden/>
              </w:rPr>
              <w:fldChar w:fldCharType="separate"/>
            </w:r>
            <w:r w:rsidR="00A33735">
              <w:rPr>
                <w:noProof/>
                <w:webHidden/>
              </w:rPr>
              <w:t>16</w:t>
            </w:r>
            <w:r w:rsidR="00A33735">
              <w:rPr>
                <w:noProof/>
                <w:webHidden/>
              </w:rPr>
              <w:fldChar w:fldCharType="end"/>
            </w:r>
          </w:hyperlink>
        </w:p>
        <w:p w14:paraId="3FBAF522" w14:textId="77777777" w:rsidR="00A33735" w:rsidRDefault="002C2A76">
          <w:pPr>
            <w:pStyle w:val="Verzeichnis1"/>
            <w:tabs>
              <w:tab w:val="right" w:leader="dot" w:pos="9062"/>
            </w:tabs>
            <w:rPr>
              <w:rFonts w:asciiTheme="minorHAnsi" w:eastAsiaTheme="minorEastAsia" w:hAnsiTheme="minorHAnsi"/>
              <w:noProof/>
              <w:lang w:val="de-DE" w:eastAsia="de-DE"/>
            </w:rPr>
          </w:pPr>
          <w:hyperlink w:anchor="_Toc522804414" w:history="1">
            <w:r w:rsidR="00A33735" w:rsidRPr="00956D05">
              <w:rPr>
                <w:rStyle w:val="Hyperlink"/>
                <w:noProof/>
              </w:rPr>
              <w:t>Section 16 Final Oral Examination</w:t>
            </w:r>
            <w:r w:rsidR="00A33735">
              <w:rPr>
                <w:noProof/>
                <w:webHidden/>
              </w:rPr>
              <w:tab/>
            </w:r>
            <w:r w:rsidR="00A33735">
              <w:rPr>
                <w:noProof/>
                <w:webHidden/>
              </w:rPr>
              <w:fldChar w:fldCharType="begin"/>
            </w:r>
            <w:r w:rsidR="00A33735">
              <w:rPr>
                <w:noProof/>
                <w:webHidden/>
              </w:rPr>
              <w:instrText xml:space="preserve"> PAGEREF _Toc522804414 \h </w:instrText>
            </w:r>
            <w:r w:rsidR="00A33735">
              <w:rPr>
                <w:noProof/>
                <w:webHidden/>
              </w:rPr>
            </w:r>
            <w:r w:rsidR="00A33735">
              <w:rPr>
                <w:noProof/>
                <w:webHidden/>
              </w:rPr>
              <w:fldChar w:fldCharType="separate"/>
            </w:r>
            <w:r w:rsidR="00A33735">
              <w:rPr>
                <w:noProof/>
                <w:webHidden/>
              </w:rPr>
              <w:t>17</w:t>
            </w:r>
            <w:r w:rsidR="00A33735">
              <w:rPr>
                <w:noProof/>
                <w:webHidden/>
              </w:rPr>
              <w:fldChar w:fldCharType="end"/>
            </w:r>
          </w:hyperlink>
        </w:p>
        <w:p w14:paraId="025AF046" w14:textId="77777777" w:rsidR="00A33735" w:rsidRDefault="002C2A76">
          <w:pPr>
            <w:pStyle w:val="Verzeichnis1"/>
            <w:tabs>
              <w:tab w:val="right" w:leader="dot" w:pos="9062"/>
            </w:tabs>
            <w:rPr>
              <w:rFonts w:asciiTheme="minorHAnsi" w:eastAsiaTheme="minorEastAsia" w:hAnsiTheme="minorHAnsi"/>
              <w:noProof/>
              <w:lang w:val="de-DE" w:eastAsia="de-DE"/>
            </w:rPr>
          </w:pPr>
          <w:hyperlink w:anchor="_Toc522804415" w:history="1">
            <w:r w:rsidR="00A33735" w:rsidRPr="00956D05">
              <w:rPr>
                <w:rStyle w:val="Hyperlink"/>
                <w:noProof/>
              </w:rPr>
              <w:t>Section 17 Assessment of Examinations and Graded Coursework, Determination of Overall Grade</w:t>
            </w:r>
            <w:r w:rsidR="00A33735">
              <w:rPr>
                <w:noProof/>
                <w:webHidden/>
              </w:rPr>
              <w:tab/>
            </w:r>
            <w:r w:rsidR="00A33735">
              <w:rPr>
                <w:noProof/>
                <w:webHidden/>
              </w:rPr>
              <w:fldChar w:fldCharType="begin"/>
            </w:r>
            <w:r w:rsidR="00A33735">
              <w:rPr>
                <w:noProof/>
                <w:webHidden/>
              </w:rPr>
              <w:instrText xml:space="preserve"> PAGEREF _Toc522804415 \h </w:instrText>
            </w:r>
            <w:r w:rsidR="00A33735">
              <w:rPr>
                <w:noProof/>
                <w:webHidden/>
              </w:rPr>
            </w:r>
            <w:r w:rsidR="00A33735">
              <w:rPr>
                <w:noProof/>
                <w:webHidden/>
              </w:rPr>
              <w:fldChar w:fldCharType="separate"/>
            </w:r>
            <w:r w:rsidR="00A33735">
              <w:rPr>
                <w:noProof/>
                <w:webHidden/>
              </w:rPr>
              <w:t>18</w:t>
            </w:r>
            <w:r w:rsidR="00A33735">
              <w:rPr>
                <w:noProof/>
                <w:webHidden/>
              </w:rPr>
              <w:fldChar w:fldCharType="end"/>
            </w:r>
          </w:hyperlink>
        </w:p>
        <w:p w14:paraId="75C05583" w14:textId="77777777" w:rsidR="00A33735" w:rsidRDefault="002C2A76">
          <w:pPr>
            <w:pStyle w:val="Verzeichnis1"/>
            <w:tabs>
              <w:tab w:val="right" w:leader="dot" w:pos="9062"/>
            </w:tabs>
            <w:rPr>
              <w:rFonts w:asciiTheme="minorHAnsi" w:eastAsiaTheme="minorEastAsia" w:hAnsiTheme="minorHAnsi"/>
              <w:noProof/>
              <w:lang w:val="de-DE" w:eastAsia="de-DE"/>
            </w:rPr>
          </w:pPr>
          <w:hyperlink w:anchor="_Toc522804416" w:history="1">
            <w:r w:rsidR="00A33735" w:rsidRPr="00956D05">
              <w:rPr>
                <w:rStyle w:val="Hyperlink"/>
                <w:noProof/>
              </w:rPr>
              <w:t>Section 18 Passing and Failing, Repeating Examinations</w:t>
            </w:r>
            <w:r w:rsidR="00A33735">
              <w:rPr>
                <w:noProof/>
                <w:webHidden/>
              </w:rPr>
              <w:tab/>
            </w:r>
            <w:r w:rsidR="00A33735">
              <w:rPr>
                <w:noProof/>
                <w:webHidden/>
              </w:rPr>
              <w:fldChar w:fldCharType="begin"/>
            </w:r>
            <w:r w:rsidR="00A33735">
              <w:rPr>
                <w:noProof/>
                <w:webHidden/>
              </w:rPr>
              <w:instrText xml:space="preserve"> PAGEREF _Toc522804416 \h </w:instrText>
            </w:r>
            <w:r w:rsidR="00A33735">
              <w:rPr>
                <w:noProof/>
                <w:webHidden/>
              </w:rPr>
            </w:r>
            <w:r w:rsidR="00A33735">
              <w:rPr>
                <w:noProof/>
                <w:webHidden/>
              </w:rPr>
              <w:fldChar w:fldCharType="separate"/>
            </w:r>
            <w:r w:rsidR="00A33735">
              <w:rPr>
                <w:noProof/>
                <w:webHidden/>
              </w:rPr>
              <w:t>19</w:t>
            </w:r>
            <w:r w:rsidR="00A33735">
              <w:rPr>
                <w:noProof/>
                <w:webHidden/>
              </w:rPr>
              <w:fldChar w:fldCharType="end"/>
            </w:r>
          </w:hyperlink>
        </w:p>
        <w:p w14:paraId="6E9D899C" w14:textId="77777777" w:rsidR="00A33735" w:rsidRDefault="002C2A76">
          <w:pPr>
            <w:pStyle w:val="Verzeichnis1"/>
            <w:tabs>
              <w:tab w:val="right" w:leader="dot" w:pos="9062"/>
            </w:tabs>
            <w:rPr>
              <w:rFonts w:asciiTheme="minorHAnsi" w:eastAsiaTheme="minorEastAsia" w:hAnsiTheme="minorHAnsi"/>
              <w:noProof/>
              <w:lang w:val="de-DE" w:eastAsia="de-DE"/>
            </w:rPr>
          </w:pPr>
          <w:hyperlink w:anchor="_Toc522804417" w:history="1">
            <w:r w:rsidR="00A33735" w:rsidRPr="00956D05">
              <w:rPr>
                <w:rStyle w:val="Hyperlink"/>
                <w:noProof/>
              </w:rPr>
              <w:t>Section 19 Absence, Withdrawal, Cheating, Breaches of Regulations</w:t>
            </w:r>
            <w:r w:rsidR="00A33735">
              <w:rPr>
                <w:noProof/>
                <w:webHidden/>
              </w:rPr>
              <w:tab/>
            </w:r>
            <w:r w:rsidR="00A33735">
              <w:rPr>
                <w:noProof/>
                <w:webHidden/>
              </w:rPr>
              <w:fldChar w:fldCharType="begin"/>
            </w:r>
            <w:r w:rsidR="00A33735">
              <w:rPr>
                <w:noProof/>
                <w:webHidden/>
              </w:rPr>
              <w:instrText xml:space="preserve"> PAGEREF _Toc522804417 \h </w:instrText>
            </w:r>
            <w:r w:rsidR="00A33735">
              <w:rPr>
                <w:noProof/>
                <w:webHidden/>
              </w:rPr>
            </w:r>
            <w:r w:rsidR="00A33735">
              <w:rPr>
                <w:noProof/>
                <w:webHidden/>
              </w:rPr>
              <w:fldChar w:fldCharType="separate"/>
            </w:r>
            <w:r w:rsidR="00A33735">
              <w:rPr>
                <w:noProof/>
                <w:webHidden/>
              </w:rPr>
              <w:t>20</w:t>
            </w:r>
            <w:r w:rsidR="00A33735">
              <w:rPr>
                <w:noProof/>
                <w:webHidden/>
              </w:rPr>
              <w:fldChar w:fldCharType="end"/>
            </w:r>
          </w:hyperlink>
        </w:p>
        <w:p w14:paraId="2CB522BB" w14:textId="77777777" w:rsidR="00A33735" w:rsidRDefault="002C2A76">
          <w:pPr>
            <w:pStyle w:val="Verzeichnis1"/>
            <w:tabs>
              <w:tab w:val="right" w:leader="dot" w:pos="9062"/>
            </w:tabs>
            <w:rPr>
              <w:rFonts w:asciiTheme="minorHAnsi" w:eastAsiaTheme="minorEastAsia" w:hAnsiTheme="minorHAnsi"/>
              <w:noProof/>
              <w:lang w:val="de-DE" w:eastAsia="de-DE"/>
            </w:rPr>
          </w:pPr>
          <w:hyperlink w:anchor="_Toc522804418" w:history="1">
            <w:r w:rsidR="00A33735" w:rsidRPr="00956D05">
              <w:rPr>
                <w:rStyle w:val="Hyperlink"/>
                <w:noProof/>
              </w:rPr>
              <w:t>Section 20 Diploma, Diploma Certificate, Diploma Supplement</w:t>
            </w:r>
            <w:r w:rsidR="00A33735">
              <w:rPr>
                <w:noProof/>
                <w:webHidden/>
              </w:rPr>
              <w:tab/>
            </w:r>
            <w:r w:rsidR="00A33735">
              <w:rPr>
                <w:noProof/>
                <w:webHidden/>
              </w:rPr>
              <w:fldChar w:fldCharType="begin"/>
            </w:r>
            <w:r w:rsidR="00A33735">
              <w:rPr>
                <w:noProof/>
                <w:webHidden/>
              </w:rPr>
              <w:instrText xml:space="preserve"> PAGEREF _Toc522804418 \h </w:instrText>
            </w:r>
            <w:r w:rsidR="00A33735">
              <w:rPr>
                <w:noProof/>
                <w:webHidden/>
              </w:rPr>
            </w:r>
            <w:r w:rsidR="00A33735">
              <w:rPr>
                <w:noProof/>
                <w:webHidden/>
              </w:rPr>
              <w:fldChar w:fldCharType="separate"/>
            </w:r>
            <w:r w:rsidR="00A33735">
              <w:rPr>
                <w:noProof/>
                <w:webHidden/>
              </w:rPr>
              <w:t>21</w:t>
            </w:r>
            <w:r w:rsidR="00A33735">
              <w:rPr>
                <w:noProof/>
                <w:webHidden/>
              </w:rPr>
              <w:fldChar w:fldCharType="end"/>
            </w:r>
          </w:hyperlink>
        </w:p>
        <w:p w14:paraId="3C02198E" w14:textId="77777777" w:rsidR="00A33735" w:rsidRDefault="002C2A76">
          <w:pPr>
            <w:pStyle w:val="Verzeichnis1"/>
            <w:tabs>
              <w:tab w:val="right" w:leader="dot" w:pos="9062"/>
            </w:tabs>
            <w:rPr>
              <w:rFonts w:asciiTheme="minorHAnsi" w:eastAsiaTheme="minorEastAsia" w:hAnsiTheme="minorHAnsi"/>
              <w:noProof/>
              <w:lang w:val="de-DE" w:eastAsia="de-DE"/>
            </w:rPr>
          </w:pPr>
          <w:hyperlink w:anchor="_Toc522804419" w:history="1">
            <w:r w:rsidR="00A33735" w:rsidRPr="00956D05">
              <w:rPr>
                <w:rStyle w:val="Hyperlink"/>
                <w:noProof/>
              </w:rPr>
              <w:t>Section 21 Invalidity of the Master's Examination</w:t>
            </w:r>
            <w:r w:rsidR="00A33735">
              <w:rPr>
                <w:noProof/>
                <w:webHidden/>
              </w:rPr>
              <w:tab/>
            </w:r>
            <w:r w:rsidR="00A33735">
              <w:rPr>
                <w:noProof/>
                <w:webHidden/>
              </w:rPr>
              <w:fldChar w:fldCharType="begin"/>
            </w:r>
            <w:r w:rsidR="00A33735">
              <w:rPr>
                <w:noProof/>
                <w:webHidden/>
              </w:rPr>
              <w:instrText xml:space="preserve"> PAGEREF _Toc522804419 \h </w:instrText>
            </w:r>
            <w:r w:rsidR="00A33735">
              <w:rPr>
                <w:noProof/>
                <w:webHidden/>
              </w:rPr>
            </w:r>
            <w:r w:rsidR="00A33735">
              <w:rPr>
                <w:noProof/>
                <w:webHidden/>
              </w:rPr>
              <w:fldChar w:fldCharType="separate"/>
            </w:r>
            <w:r w:rsidR="00A33735">
              <w:rPr>
                <w:noProof/>
                <w:webHidden/>
              </w:rPr>
              <w:t>22</w:t>
            </w:r>
            <w:r w:rsidR="00A33735">
              <w:rPr>
                <w:noProof/>
                <w:webHidden/>
              </w:rPr>
              <w:fldChar w:fldCharType="end"/>
            </w:r>
          </w:hyperlink>
        </w:p>
        <w:p w14:paraId="379B2A36" w14:textId="77777777" w:rsidR="00A33735" w:rsidRDefault="002C2A76">
          <w:pPr>
            <w:pStyle w:val="Verzeichnis1"/>
            <w:tabs>
              <w:tab w:val="right" w:leader="dot" w:pos="9062"/>
            </w:tabs>
            <w:rPr>
              <w:rFonts w:asciiTheme="minorHAnsi" w:eastAsiaTheme="minorEastAsia" w:hAnsiTheme="minorHAnsi"/>
              <w:noProof/>
              <w:lang w:val="de-DE" w:eastAsia="de-DE"/>
            </w:rPr>
          </w:pPr>
          <w:hyperlink w:anchor="_Toc522804420" w:history="1">
            <w:r w:rsidR="00A33735" w:rsidRPr="00956D05">
              <w:rPr>
                <w:rStyle w:val="Hyperlink"/>
                <w:noProof/>
              </w:rPr>
              <w:t>Section 22 Appeal</w:t>
            </w:r>
            <w:r w:rsidR="00A33735">
              <w:rPr>
                <w:noProof/>
                <w:webHidden/>
              </w:rPr>
              <w:tab/>
            </w:r>
            <w:r w:rsidR="00A33735">
              <w:rPr>
                <w:noProof/>
                <w:webHidden/>
              </w:rPr>
              <w:fldChar w:fldCharType="begin"/>
            </w:r>
            <w:r w:rsidR="00A33735">
              <w:rPr>
                <w:noProof/>
                <w:webHidden/>
              </w:rPr>
              <w:instrText xml:space="preserve"> PAGEREF _Toc522804420 \h </w:instrText>
            </w:r>
            <w:r w:rsidR="00A33735">
              <w:rPr>
                <w:noProof/>
                <w:webHidden/>
              </w:rPr>
            </w:r>
            <w:r w:rsidR="00A33735">
              <w:rPr>
                <w:noProof/>
                <w:webHidden/>
              </w:rPr>
              <w:fldChar w:fldCharType="separate"/>
            </w:r>
            <w:r w:rsidR="00A33735">
              <w:rPr>
                <w:noProof/>
                <w:webHidden/>
              </w:rPr>
              <w:t>23</w:t>
            </w:r>
            <w:r w:rsidR="00A33735">
              <w:rPr>
                <w:noProof/>
                <w:webHidden/>
              </w:rPr>
              <w:fldChar w:fldCharType="end"/>
            </w:r>
          </w:hyperlink>
        </w:p>
        <w:p w14:paraId="56AF3A59" w14:textId="77777777" w:rsidR="00A33735" w:rsidRDefault="002C2A76">
          <w:pPr>
            <w:pStyle w:val="Verzeichnis1"/>
            <w:tabs>
              <w:tab w:val="right" w:leader="dot" w:pos="9062"/>
            </w:tabs>
            <w:rPr>
              <w:rFonts w:asciiTheme="minorHAnsi" w:eastAsiaTheme="minorEastAsia" w:hAnsiTheme="minorHAnsi"/>
              <w:noProof/>
              <w:lang w:val="de-DE" w:eastAsia="de-DE"/>
            </w:rPr>
          </w:pPr>
          <w:hyperlink w:anchor="_Toc522804421" w:history="1">
            <w:r w:rsidR="00A33735" w:rsidRPr="00956D05">
              <w:rPr>
                <w:rStyle w:val="Hyperlink"/>
                <w:noProof/>
              </w:rPr>
              <w:t>Section 23 Candidates’ Rights of Information</w:t>
            </w:r>
            <w:r w:rsidR="00A33735">
              <w:rPr>
                <w:noProof/>
                <w:webHidden/>
              </w:rPr>
              <w:tab/>
            </w:r>
            <w:r w:rsidR="00A33735">
              <w:rPr>
                <w:noProof/>
                <w:webHidden/>
              </w:rPr>
              <w:fldChar w:fldCharType="begin"/>
            </w:r>
            <w:r w:rsidR="00A33735">
              <w:rPr>
                <w:noProof/>
                <w:webHidden/>
              </w:rPr>
              <w:instrText xml:space="preserve"> PAGEREF _Toc522804421 \h </w:instrText>
            </w:r>
            <w:r w:rsidR="00A33735">
              <w:rPr>
                <w:noProof/>
                <w:webHidden/>
              </w:rPr>
            </w:r>
            <w:r w:rsidR="00A33735">
              <w:rPr>
                <w:noProof/>
                <w:webHidden/>
              </w:rPr>
              <w:fldChar w:fldCharType="separate"/>
            </w:r>
            <w:r w:rsidR="00A33735">
              <w:rPr>
                <w:noProof/>
                <w:webHidden/>
              </w:rPr>
              <w:t>23</w:t>
            </w:r>
            <w:r w:rsidR="00A33735">
              <w:rPr>
                <w:noProof/>
                <w:webHidden/>
              </w:rPr>
              <w:fldChar w:fldCharType="end"/>
            </w:r>
          </w:hyperlink>
        </w:p>
        <w:p w14:paraId="1B5E5548" w14:textId="77777777" w:rsidR="00A33735" w:rsidRDefault="002C2A76">
          <w:pPr>
            <w:pStyle w:val="Verzeichnis1"/>
            <w:tabs>
              <w:tab w:val="right" w:leader="dot" w:pos="9062"/>
            </w:tabs>
            <w:rPr>
              <w:rFonts w:asciiTheme="minorHAnsi" w:eastAsiaTheme="minorEastAsia" w:hAnsiTheme="minorHAnsi"/>
              <w:noProof/>
              <w:lang w:val="de-DE" w:eastAsia="de-DE"/>
            </w:rPr>
          </w:pPr>
          <w:hyperlink w:anchor="_Toc522804422" w:history="1">
            <w:r w:rsidR="00A33735" w:rsidRPr="00956D05">
              <w:rPr>
                <w:rStyle w:val="Hyperlink"/>
                <w:noProof/>
              </w:rPr>
              <w:t>Section 24 Examination Management System</w:t>
            </w:r>
            <w:r w:rsidR="00A33735">
              <w:rPr>
                <w:noProof/>
                <w:webHidden/>
              </w:rPr>
              <w:tab/>
            </w:r>
            <w:r w:rsidR="00A33735">
              <w:rPr>
                <w:noProof/>
                <w:webHidden/>
              </w:rPr>
              <w:fldChar w:fldCharType="begin"/>
            </w:r>
            <w:r w:rsidR="00A33735">
              <w:rPr>
                <w:noProof/>
                <w:webHidden/>
              </w:rPr>
              <w:instrText xml:space="preserve"> PAGEREF _Toc522804422 \h </w:instrText>
            </w:r>
            <w:r w:rsidR="00A33735">
              <w:rPr>
                <w:noProof/>
                <w:webHidden/>
              </w:rPr>
            </w:r>
            <w:r w:rsidR="00A33735">
              <w:rPr>
                <w:noProof/>
                <w:webHidden/>
              </w:rPr>
              <w:fldChar w:fldCharType="separate"/>
            </w:r>
            <w:r w:rsidR="00A33735">
              <w:rPr>
                <w:noProof/>
                <w:webHidden/>
              </w:rPr>
              <w:t>23</w:t>
            </w:r>
            <w:r w:rsidR="00A33735">
              <w:rPr>
                <w:noProof/>
                <w:webHidden/>
              </w:rPr>
              <w:fldChar w:fldCharType="end"/>
            </w:r>
          </w:hyperlink>
        </w:p>
        <w:p w14:paraId="0CFA62AE" w14:textId="77777777" w:rsidR="00A33735" w:rsidRDefault="002C2A76">
          <w:pPr>
            <w:pStyle w:val="Verzeichnis1"/>
            <w:tabs>
              <w:tab w:val="right" w:leader="dot" w:pos="9062"/>
            </w:tabs>
            <w:rPr>
              <w:rFonts w:asciiTheme="minorHAnsi" w:eastAsiaTheme="minorEastAsia" w:hAnsiTheme="minorHAnsi"/>
              <w:noProof/>
              <w:lang w:val="de-DE" w:eastAsia="de-DE"/>
            </w:rPr>
          </w:pPr>
          <w:hyperlink w:anchor="_Toc522804423" w:history="1">
            <w:r w:rsidR="00A33735" w:rsidRPr="00956D05">
              <w:rPr>
                <w:rStyle w:val="Hyperlink"/>
                <w:noProof/>
              </w:rPr>
              <w:t>Section 25 Entry into Force</w:t>
            </w:r>
            <w:r w:rsidR="00A33735">
              <w:rPr>
                <w:noProof/>
                <w:webHidden/>
              </w:rPr>
              <w:tab/>
            </w:r>
            <w:r w:rsidR="00A33735">
              <w:rPr>
                <w:noProof/>
                <w:webHidden/>
              </w:rPr>
              <w:fldChar w:fldCharType="begin"/>
            </w:r>
            <w:r w:rsidR="00A33735">
              <w:rPr>
                <w:noProof/>
                <w:webHidden/>
              </w:rPr>
              <w:instrText xml:space="preserve"> PAGEREF _Toc522804423 \h </w:instrText>
            </w:r>
            <w:r w:rsidR="00A33735">
              <w:rPr>
                <w:noProof/>
                <w:webHidden/>
              </w:rPr>
            </w:r>
            <w:r w:rsidR="00A33735">
              <w:rPr>
                <w:noProof/>
                <w:webHidden/>
              </w:rPr>
              <w:fldChar w:fldCharType="separate"/>
            </w:r>
            <w:r w:rsidR="00A33735">
              <w:rPr>
                <w:noProof/>
                <w:webHidden/>
              </w:rPr>
              <w:t>23</w:t>
            </w:r>
            <w:r w:rsidR="00A33735">
              <w:rPr>
                <w:noProof/>
                <w:webHidden/>
              </w:rPr>
              <w:fldChar w:fldCharType="end"/>
            </w:r>
          </w:hyperlink>
        </w:p>
        <w:p w14:paraId="7CA87789" w14:textId="77777777" w:rsidR="00A33735" w:rsidRDefault="002C2A76">
          <w:pPr>
            <w:pStyle w:val="Verzeichnis1"/>
            <w:tabs>
              <w:tab w:val="right" w:leader="dot" w:pos="9062"/>
            </w:tabs>
            <w:rPr>
              <w:rFonts w:asciiTheme="minorHAnsi" w:eastAsiaTheme="minorEastAsia" w:hAnsiTheme="minorHAnsi"/>
              <w:noProof/>
              <w:lang w:val="de-DE" w:eastAsia="de-DE"/>
            </w:rPr>
          </w:pPr>
          <w:hyperlink w:anchor="_Toc522804424" w:history="1">
            <w:r w:rsidR="00A33735" w:rsidRPr="00956D05">
              <w:rPr>
                <w:rStyle w:val="Hyperlink"/>
                <w:noProof/>
              </w:rPr>
              <w:t>Attachment to the Sections 5, 6, 11-14 Modules</w:t>
            </w:r>
            <w:r w:rsidR="00A33735">
              <w:rPr>
                <w:noProof/>
                <w:webHidden/>
              </w:rPr>
              <w:tab/>
            </w:r>
            <w:r w:rsidR="00A33735">
              <w:rPr>
                <w:noProof/>
                <w:webHidden/>
              </w:rPr>
              <w:fldChar w:fldCharType="begin"/>
            </w:r>
            <w:r w:rsidR="00A33735">
              <w:rPr>
                <w:noProof/>
                <w:webHidden/>
              </w:rPr>
              <w:instrText xml:space="preserve"> PAGEREF _Toc522804424 \h </w:instrText>
            </w:r>
            <w:r w:rsidR="00A33735">
              <w:rPr>
                <w:noProof/>
                <w:webHidden/>
              </w:rPr>
            </w:r>
            <w:r w:rsidR="00A33735">
              <w:rPr>
                <w:noProof/>
                <w:webHidden/>
              </w:rPr>
              <w:fldChar w:fldCharType="separate"/>
            </w:r>
            <w:r w:rsidR="00A33735">
              <w:rPr>
                <w:noProof/>
                <w:webHidden/>
              </w:rPr>
              <w:t>24</w:t>
            </w:r>
            <w:r w:rsidR="00A33735">
              <w:rPr>
                <w:noProof/>
                <w:webHidden/>
              </w:rPr>
              <w:fldChar w:fldCharType="end"/>
            </w:r>
          </w:hyperlink>
        </w:p>
        <w:p w14:paraId="26F49F28" w14:textId="612DC699" w:rsidR="00432569" w:rsidRDefault="00432569">
          <w:r>
            <w:rPr>
              <w:b/>
              <w:bCs/>
            </w:rPr>
            <w:fldChar w:fldCharType="end"/>
          </w:r>
        </w:p>
      </w:sdtContent>
    </w:sdt>
    <w:p w14:paraId="2A171EFF" w14:textId="77777777" w:rsidR="0073098A" w:rsidRDefault="0073098A" w:rsidP="0073098A"/>
    <w:p w14:paraId="5897FF43" w14:textId="77777777" w:rsidR="0073098A" w:rsidRDefault="0073098A" w:rsidP="0073098A">
      <w:r>
        <w:br w:type="page"/>
      </w:r>
    </w:p>
    <w:p w14:paraId="5A2896B0" w14:textId="5DC3B4A6" w:rsidR="0073098A" w:rsidRDefault="0073098A" w:rsidP="0073098A">
      <w:pPr>
        <w:pStyle w:val="berschrift1"/>
      </w:pPr>
      <w:bookmarkStart w:id="0" w:name="_§_1_Geltungsbereich,"/>
      <w:bookmarkStart w:id="1" w:name="_Toc321319981"/>
      <w:bookmarkStart w:id="2" w:name="_Toc522804399"/>
      <w:bookmarkEnd w:id="0"/>
      <w:r>
        <w:lastRenderedPageBreak/>
        <w:t>Section 1</w:t>
      </w:r>
      <w:r>
        <w:tab/>
      </w:r>
      <w:r>
        <w:br/>
        <w:t>Scope, Degree Objectives, Purpose of the Master’s Examination, Academic Degree</w:t>
      </w:r>
      <w:bookmarkEnd w:id="1"/>
      <w:bookmarkEnd w:id="2"/>
    </w:p>
    <w:p w14:paraId="6229C69C" w14:textId="41B96D92" w:rsidR="0073098A" w:rsidRDefault="0073098A" w:rsidP="0073098A">
      <w:pPr>
        <w:rPr>
          <w:rFonts w:cs="Arial"/>
        </w:rPr>
      </w:pPr>
      <w:r>
        <w:t xml:space="preserve">(1) These examination regulations govern the examinations for the master's </w:t>
      </w:r>
      <w:r w:rsidR="00B57370">
        <w:t xml:space="preserve">degree </w:t>
      </w:r>
      <w:r>
        <w:t xml:space="preserve">program </w:t>
      </w:r>
      <w:r>
        <w:rPr>
          <w:color w:val="FF0000"/>
        </w:rPr>
        <w:t>▀</w:t>
      </w:r>
      <w:r>
        <w:t xml:space="preserve"> of Faculty </w:t>
      </w:r>
      <w:r>
        <w:rPr>
          <w:color w:val="FF0000"/>
        </w:rPr>
        <w:t>▀</w:t>
      </w:r>
      <w:r>
        <w:t xml:space="preserve"> at Johannes Gutenberg University Mainz.</w:t>
      </w:r>
    </w:p>
    <w:p w14:paraId="77B5455B" w14:textId="27D89A10" w:rsidR="0073098A" w:rsidRDefault="0073098A" w:rsidP="0073098A">
      <w:pPr>
        <w:rPr>
          <w:rFonts w:cs="Arial"/>
        </w:rPr>
      </w:pPr>
      <w:r>
        <w:t xml:space="preserve">(2) The </w:t>
      </w:r>
      <w:r w:rsidR="00B57370">
        <w:t>master’s degree program</w:t>
      </w:r>
      <w:r>
        <w:t xml:space="preserve"> is a second professional academic </w:t>
      </w:r>
      <w:r>
        <w:rPr>
          <w:highlight w:val="lightGray"/>
        </w:rPr>
        <w:t>(and/or artistic)</w:t>
      </w:r>
      <w:r>
        <w:t xml:space="preserve"> qualification that is based on a succe</w:t>
      </w:r>
      <w:r w:rsidR="005C1227">
        <w:t xml:space="preserve">ssfully completed first degree. </w:t>
      </w:r>
      <w:r>
        <w:t xml:space="preserve">The </w:t>
      </w:r>
      <w:r w:rsidR="00B57370">
        <w:t>degree program</w:t>
      </w:r>
      <w:r>
        <w:t xml:space="preserve">’s objective is to provide students with scientific and </w:t>
      </w:r>
      <w:r>
        <w:rPr>
          <w:color w:val="FF0000"/>
          <w:highlight w:val="lightGray"/>
        </w:rPr>
        <w:t xml:space="preserve">(▀and artistic) </w:t>
      </w:r>
      <w:r w:rsidRPr="005C1227">
        <w:rPr>
          <w:highlight w:val="lightGray"/>
        </w:rPr>
        <w:t>specialist knowledge in the fields of</w:t>
      </w:r>
      <w:r>
        <w:rPr>
          <w:color w:val="FF0000"/>
          <w:highlight w:val="lightGray"/>
        </w:rPr>
        <w:t xml:space="preserve"> </w:t>
      </w:r>
      <w:r>
        <w:t xml:space="preserve"> </w:t>
      </w:r>
      <w:r>
        <w:rPr>
          <w:color w:val="FF0000"/>
        </w:rPr>
        <w:t>▀</w:t>
      </w:r>
      <w:r>
        <w:t xml:space="preserve">. </w:t>
      </w:r>
    </w:p>
    <w:p w14:paraId="0032A97A" w14:textId="322500D6" w:rsidR="0073098A" w:rsidRDefault="0073098A" w:rsidP="0073098A">
      <w:pPr>
        <w:rPr>
          <w:rFonts w:cs="Arial"/>
          <w:szCs w:val="20"/>
        </w:rPr>
      </w:pPr>
      <w:r>
        <w:rPr>
          <w:snapToGrid w:val="0"/>
        </w:rPr>
        <w:t xml:space="preserve">(3) </w:t>
      </w:r>
      <w:r>
        <w:t>The purpose of the master's examination is to determine whether or not the candidate has acquired the specialist knowledge required in order for him or her to transition into higher professional practice, especially in the fields of</w:t>
      </w:r>
      <w:r w:rsidR="005C1227">
        <w:t xml:space="preserve"> </w:t>
      </w:r>
      <w:r>
        <w:rPr>
          <w:color w:val="FF0000"/>
        </w:rPr>
        <w:t>▀</w:t>
      </w:r>
      <w:r>
        <w:t>. Furthermore, the candidate must prove that he or she understands the context of the field and knows how to apply scientific methods and knowledge.</w:t>
      </w:r>
    </w:p>
    <w:p w14:paraId="329C52B6" w14:textId="77777777" w:rsidR="0073098A" w:rsidRDefault="0073098A" w:rsidP="0073098A">
      <w:pPr>
        <w:rPr>
          <w:rFonts w:cs="Arial"/>
        </w:rPr>
      </w:pPr>
      <w:r>
        <w:t>(4) After successfully completing the degree and passing the examination, the responsible Faculty will award the graduate the academic degree “</w:t>
      </w:r>
      <w:r>
        <w:rPr>
          <w:color w:val="FF0000"/>
        </w:rPr>
        <w:t>▀</w:t>
      </w:r>
      <w:r>
        <w:t xml:space="preserve">”. The graduate may then add the academic title to his or her name. </w:t>
      </w:r>
    </w:p>
    <w:p w14:paraId="321DDC19" w14:textId="77777777" w:rsidR="0073098A" w:rsidRDefault="0073098A" w:rsidP="0073098A"/>
    <w:p w14:paraId="3E9173FD" w14:textId="155DA300" w:rsidR="0073098A" w:rsidRDefault="004E444C" w:rsidP="0073098A">
      <w:pPr>
        <w:pStyle w:val="berschrift1"/>
      </w:pPr>
      <w:bookmarkStart w:id="3" w:name="_Toc321319982"/>
      <w:bookmarkStart w:id="4" w:name="_Toc522804400"/>
      <w:r>
        <w:t>Section 2</w:t>
      </w:r>
      <w:r>
        <w:tab/>
      </w:r>
      <w:r>
        <w:br/>
        <w:t>Admission R</w:t>
      </w:r>
      <w:r w:rsidR="0073098A">
        <w:t>equirements</w:t>
      </w:r>
      <w:bookmarkEnd w:id="3"/>
      <w:bookmarkEnd w:id="4"/>
    </w:p>
    <w:p w14:paraId="6D1B80A2" w14:textId="3B9B18B3" w:rsidR="0073098A" w:rsidRDefault="0073098A" w:rsidP="0073098A">
      <w:pPr>
        <w:autoSpaceDE w:val="0"/>
        <w:autoSpaceDN w:val="0"/>
        <w:adjustRightInd w:val="0"/>
      </w:pPr>
      <w:r>
        <w:t xml:space="preserve">(1) Admission requirements for the master's </w:t>
      </w:r>
      <w:r w:rsidR="00B57370">
        <w:t>degree program</w:t>
      </w:r>
      <w:r>
        <w:t xml:space="preserve"> </w:t>
      </w:r>
      <w:r>
        <w:rPr>
          <w:color w:val="FF0000"/>
        </w:rPr>
        <w:t>▀</w:t>
      </w:r>
      <w:r>
        <w:t xml:space="preserve"> include:</w:t>
      </w:r>
    </w:p>
    <w:p w14:paraId="5322AAE1" w14:textId="2E5A1EC2" w:rsidR="0073098A" w:rsidRPr="0061579B" w:rsidRDefault="0073098A" w:rsidP="0073098A">
      <w:r>
        <w:t xml:space="preserve">1. A bachelor’s or similar degree from a German or foreign higher education institution, with at least XX credits coming from subjects related to </w:t>
      </w:r>
      <w:r>
        <w:rPr>
          <w:color w:val="FF0000"/>
        </w:rPr>
        <w:t>▀</w:t>
      </w:r>
      <w:r>
        <w:t xml:space="preserve">. These credits can also come from courses or programs other than the bachelor's program. In these cases, the examination committee will decide on the matter. </w:t>
      </w:r>
    </w:p>
    <w:p w14:paraId="74026675" w14:textId="480F7068" w:rsidR="0073098A" w:rsidRPr="0061579B" w:rsidRDefault="0073098A" w:rsidP="0073098A">
      <w:pPr>
        <w:tabs>
          <w:tab w:val="left" w:pos="480"/>
        </w:tabs>
        <w:rPr>
          <w:rFonts w:cs="Arial"/>
          <w:color w:val="FF0000"/>
        </w:rPr>
      </w:pPr>
      <w:r>
        <w:rPr>
          <w:color w:val="FF0000"/>
          <w:highlight w:val="lightGray"/>
        </w:rPr>
        <w:t>[optional:]</w:t>
      </w:r>
      <w:r>
        <w:rPr>
          <w:color w:val="FF0000"/>
        </w:rPr>
        <w:t xml:space="preserve"> 2 Proof of required knowledge in XX with at least XX credits. If the student has obtained less than XX credits, </w:t>
      </w:r>
      <w:r w:rsidR="004E444C">
        <w:rPr>
          <w:color w:val="FF0000"/>
        </w:rPr>
        <w:t>he or she</w:t>
      </w:r>
      <w:r>
        <w:rPr>
          <w:color w:val="FF0000"/>
        </w:rPr>
        <w:t xml:space="preserve"> will be admitted to the </w:t>
      </w:r>
      <w:r w:rsidR="00B57370">
        <w:rPr>
          <w:color w:val="FF0000"/>
        </w:rPr>
        <w:t>master’s degree program</w:t>
      </w:r>
      <w:r>
        <w:rPr>
          <w:color w:val="FF0000"/>
        </w:rPr>
        <w:t xml:space="preserve"> on the following conditions: </w:t>
      </w:r>
      <w:r>
        <w:t>XXX .</w:t>
      </w:r>
    </w:p>
    <w:p w14:paraId="1B2185DA" w14:textId="7046D439" w:rsidR="0073098A" w:rsidRPr="00A1763E" w:rsidRDefault="0073098A" w:rsidP="0073098A">
      <w:pPr>
        <w:tabs>
          <w:tab w:val="left" w:pos="480"/>
        </w:tabs>
        <w:rPr>
          <w:rFonts w:cs="Arial"/>
          <w:color w:val="FF0000"/>
        </w:rPr>
      </w:pPr>
      <w:r>
        <w:rPr>
          <w:color w:val="FF0000"/>
          <w:highlight w:val="lightGray"/>
        </w:rPr>
        <w:t>[optional:]</w:t>
      </w:r>
      <w:r w:rsidR="004E444C">
        <w:rPr>
          <w:color w:val="FF0000"/>
        </w:rPr>
        <w:t xml:space="preserve"> </w:t>
      </w:r>
      <w:r>
        <w:rPr>
          <w:color w:val="FF0000"/>
        </w:rPr>
        <w:t>3 Proof of language proficiency in ▀</w:t>
      </w:r>
      <w:r>
        <w:rPr>
          <w:color w:val="FF0000"/>
        </w:rPr>
        <w:br/>
        <w:t xml:space="preserve">[For example: English at level B2 according to the Common European Framework of Reference for Languages (CEFR)] by one of the following forms of proof: </w:t>
      </w:r>
    </w:p>
    <w:p w14:paraId="7018ACAC" w14:textId="7BA008AE" w:rsidR="0073098A" w:rsidRPr="00A1763E" w:rsidRDefault="004E444C" w:rsidP="0073098A">
      <w:pPr>
        <w:numPr>
          <w:ilvl w:val="0"/>
          <w:numId w:val="1"/>
        </w:numPr>
        <w:tabs>
          <w:tab w:val="left" w:pos="480"/>
        </w:tabs>
        <w:spacing w:line="264" w:lineRule="atLeast"/>
        <w:rPr>
          <w:rFonts w:cs="Arial"/>
          <w:color w:val="FF0000"/>
        </w:rPr>
      </w:pPr>
      <w:r>
        <w:rPr>
          <w:color w:val="FF0000"/>
        </w:rPr>
        <w:t>a</w:t>
      </w:r>
      <w:r w:rsidR="0073098A">
        <w:rPr>
          <w:color w:val="FF0000"/>
        </w:rPr>
        <w:t xml:space="preserve"> university entrance qualification obtained at an English-speaking institution </w:t>
      </w:r>
    </w:p>
    <w:p w14:paraId="7DA53053" w14:textId="3932E661" w:rsidR="0073098A" w:rsidRPr="00A1763E" w:rsidRDefault="0073098A" w:rsidP="0073098A">
      <w:pPr>
        <w:numPr>
          <w:ilvl w:val="0"/>
          <w:numId w:val="1"/>
        </w:numPr>
        <w:tabs>
          <w:tab w:val="left" w:pos="480"/>
        </w:tabs>
        <w:spacing w:line="264" w:lineRule="atLeast"/>
        <w:rPr>
          <w:rFonts w:cs="Arial"/>
          <w:color w:val="FF0000"/>
        </w:rPr>
      </w:pPr>
      <w:r>
        <w:rPr>
          <w:color w:val="FF0000"/>
        </w:rPr>
        <w:t>a</w:t>
      </w:r>
      <w:r w:rsidR="003F00E7">
        <w:rPr>
          <w:color w:val="FF0000"/>
        </w:rPr>
        <w:t>n</w:t>
      </w:r>
      <w:r>
        <w:rPr>
          <w:color w:val="FF0000"/>
        </w:rPr>
        <w:t xml:space="preserve"> </w:t>
      </w:r>
      <w:r w:rsidR="003F00E7">
        <w:rPr>
          <w:color w:val="FF0000"/>
        </w:rPr>
        <w:t xml:space="preserve">academic </w:t>
      </w:r>
      <w:r>
        <w:rPr>
          <w:color w:val="FF0000"/>
        </w:rPr>
        <w:t xml:space="preserve">degree obtained in an English-language program </w:t>
      </w:r>
    </w:p>
    <w:p w14:paraId="453BEB72" w14:textId="599DB124" w:rsidR="0073098A" w:rsidRPr="00A1763E" w:rsidRDefault="0073098A" w:rsidP="0073098A">
      <w:pPr>
        <w:numPr>
          <w:ilvl w:val="0"/>
          <w:numId w:val="1"/>
        </w:numPr>
        <w:tabs>
          <w:tab w:val="left" w:pos="480"/>
        </w:tabs>
        <w:spacing w:line="264" w:lineRule="atLeast"/>
        <w:rPr>
          <w:rFonts w:cs="Arial"/>
          <w:color w:val="FF0000"/>
        </w:rPr>
      </w:pPr>
      <w:r>
        <w:rPr>
          <w:color w:val="FF0000"/>
        </w:rPr>
        <w:t xml:space="preserve">a First Certificate in English (University of Cambridge ESOL Examinations) or a higher level (Advanced (CAE) or Proficiency (CPE)) </w:t>
      </w:r>
    </w:p>
    <w:p w14:paraId="26C441AB" w14:textId="11A192BD" w:rsidR="0073098A" w:rsidRPr="00461405" w:rsidRDefault="0073098A" w:rsidP="0073098A">
      <w:pPr>
        <w:numPr>
          <w:ilvl w:val="0"/>
          <w:numId w:val="1"/>
        </w:numPr>
        <w:tabs>
          <w:tab w:val="left" w:pos="480"/>
        </w:tabs>
        <w:spacing w:line="264" w:lineRule="atLeast"/>
        <w:rPr>
          <w:rFonts w:cs="Arial"/>
          <w:color w:val="FF0000"/>
        </w:rPr>
      </w:pPr>
      <w:r>
        <w:rPr>
          <w:color w:val="FF0000"/>
        </w:rPr>
        <w:t xml:space="preserve">IELTS (International English Language Testing System) with at least 5.5 points </w:t>
      </w:r>
    </w:p>
    <w:p w14:paraId="5217FB03" w14:textId="7E871C45" w:rsidR="0073098A" w:rsidRDefault="0073098A" w:rsidP="0073098A">
      <w:pPr>
        <w:numPr>
          <w:ilvl w:val="0"/>
          <w:numId w:val="1"/>
        </w:numPr>
        <w:tabs>
          <w:tab w:val="left" w:pos="480"/>
        </w:tabs>
        <w:spacing w:line="264" w:lineRule="atLeast"/>
        <w:rPr>
          <w:rFonts w:cs="Arial"/>
          <w:color w:val="FF0000"/>
        </w:rPr>
      </w:pPr>
      <w:r>
        <w:rPr>
          <w:color w:val="FF0000"/>
        </w:rPr>
        <w:t xml:space="preserve">TOEFL (Test of English as a Foreign Language) with at least 213 (computer-based test, CBT), 79 (internet-based test, IBT), or 550 points (paper-based test, PBT) </w:t>
      </w:r>
    </w:p>
    <w:p w14:paraId="7D057D46" w14:textId="20548B70" w:rsidR="0073098A" w:rsidRPr="00A1763E" w:rsidRDefault="0073098A" w:rsidP="0073098A">
      <w:pPr>
        <w:numPr>
          <w:ilvl w:val="0"/>
          <w:numId w:val="1"/>
        </w:numPr>
        <w:tabs>
          <w:tab w:val="left" w:pos="480"/>
        </w:tabs>
        <w:spacing w:line="264" w:lineRule="atLeast"/>
        <w:rPr>
          <w:rFonts w:cs="Arial"/>
          <w:color w:val="FF0000"/>
        </w:rPr>
      </w:pPr>
      <w:r>
        <w:rPr>
          <w:color w:val="FF0000"/>
        </w:rPr>
        <w:t xml:space="preserve">TELC (The European Language Certificates) English B2 </w:t>
      </w:r>
    </w:p>
    <w:p w14:paraId="56A3E8CE" w14:textId="5CA4BE02" w:rsidR="0073098A" w:rsidRDefault="0073098A" w:rsidP="00461405">
      <w:pPr>
        <w:tabs>
          <w:tab w:val="left" w:pos="480"/>
        </w:tabs>
        <w:spacing w:line="264" w:lineRule="atLeast"/>
        <w:ind w:left="1069"/>
        <w:rPr>
          <w:rFonts w:cs="Arial"/>
          <w:color w:val="FF0000"/>
        </w:rPr>
      </w:pPr>
      <w:r>
        <w:rPr>
          <w:color w:val="FF0000"/>
        </w:rPr>
        <w:t xml:space="preserve">The examination committee will decide whether other documents suffice as proof. </w:t>
      </w:r>
      <w:r>
        <w:rPr>
          <w:color w:val="FF0000"/>
          <w:highlight w:val="lightGray"/>
        </w:rPr>
        <w:t xml:space="preserve">[Optional: The testing date cannot be more than three years before the time of the application deadline. If the applicant is unable to provide such proof at the time of application, the applicant may be admitted on the condition that he or she will submit the certificate with the required results by the end of the first semester. If proof is </w:t>
      </w:r>
      <w:r>
        <w:rPr>
          <w:color w:val="FF0000"/>
          <w:highlight w:val="lightGray"/>
        </w:rPr>
        <w:lastRenderedPageBreak/>
        <w:t>not provided on time or if the score does not meet the requirements, admission will be rescinded.]</w:t>
      </w:r>
    </w:p>
    <w:p w14:paraId="692702C5" w14:textId="4C5B128C" w:rsidR="0073098A" w:rsidRDefault="0073098A" w:rsidP="0073098A">
      <w:pPr>
        <w:tabs>
          <w:tab w:val="left" w:pos="480"/>
        </w:tabs>
        <w:rPr>
          <w:rFonts w:cs="Arial"/>
          <w:color w:val="FF0000"/>
        </w:rPr>
      </w:pPr>
      <w:r>
        <w:rPr>
          <w:color w:val="FF0000"/>
          <w:highlight w:val="lightGray"/>
        </w:rPr>
        <w:t>[optional:]</w:t>
      </w:r>
      <w:r>
        <w:rPr>
          <w:color w:val="FF0000"/>
        </w:rPr>
        <w:t xml:space="preserve"> 4 </w:t>
      </w:r>
      <w:r>
        <w:t xml:space="preserve">Passing a subject-specific </w:t>
      </w:r>
      <w:r w:rsidR="00EB78AA">
        <w:t>qualifying examination</w:t>
      </w:r>
    </w:p>
    <w:p w14:paraId="18A23AE7" w14:textId="13352A02" w:rsidR="0073098A" w:rsidRDefault="0073098A" w:rsidP="0073098A">
      <w:pPr>
        <w:rPr>
          <w:rFonts w:cs="Arial"/>
        </w:rPr>
      </w:pPr>
      <w:r>
        <w:t xml:space="preserve">(2) Applicants have to have a very good active and passive knowledge of English that enables them to read the specialist literature and participate in courses taught in English. Unless stated differently in the examination regulations, students will not be required to hand in coursework written in English, nor do they have to write exams or papers in English. </w:t>
      </w:r>
      <w:r>
        <w:rPr>
          <w:color w:val="FF0000"/>
          <w:highlight w:val="lightGray"/>
        </w:rPr>
        <w:t xml:space="preserve">[Insert only if </w:t>
      </w:r>
      <w:r w:rsidR="004E444C">
        <w:rPr>
          <w:color w:val="FF0000"/>
          <w:highlight w:val="lightGray"/>
        </w:rPr>
        <w:t>para.</w:t>
      </w:r>
      <w:r>
        <w:rPr>
          <w:color w:val="FF0000"/>
          <w:highlight w:val="lightGray"/>
        </w:rPr>
        <w:t xml:space="preserve"> 1 no. 2 is used] </w:t>
      </w:r>
      <w:r w:rsidR="004E444C">
        <w:rPr>
          <w:color w:val="FF0000"/>
          <w:highlight w:val="lightGray"/>
        </w:rPr>
        <w:t>Para.</w:t>
      </w:r>
      <w:r>
        <w:rPr>
          <w:color w:val="FF0000"/>
          <w:highlight w:val="lightGray"/>
        </w:rPr>
        <w:t xml:space="preserve"> 1 no. 2 remains unaffected.</w:t>
      </w:r>
    </w:p>
    <w:p w14:paraId="22BA62A6" w14:textId="13581668" w:rsidR="0073098A" w:rsidRDefault="0073098A" w:rsidP="0073098A">
      <w:pPr>
        <w:rPr>
          <w:rFonts w:cs="Arial"/>
        </w:rPr>
      </w:pPr>
      <w:r>
        <w:t xml:space="preserve">(3) In order to be admitted to the </w:t>
      </w:r>
      <w:r w:rsidR="00B57370">
        <w:t>master’s degree program</w:t>
      </w:r>
      <w:r>
        <w:t xml:space="preserve"> ▀, applicants must still be eligible to take exams for this program. A corresponding statement must be submitted to confirm this.</w:t>
      </w:r>
    </w:p>
    <w:p w14:paraId="3A4806B2" w14:textId="09877FCE" w:rsidR="000552A6" w:rsidRDefault="0073098A" w:rsidP="0073098A">
      <w:pPr>
        <w:rPr>
          <w:rFonts w:cs="Arial"/>
        </w:rPr>
      </w:pPr>
      <w:r>
        <w:t xml:space="preserve">(4) If the applicant will obtain a bachelor’s degree according to </w:t>
      </w:r>
      <w:r w:rsidR="004E444C">
        <w:t>para.</w:t>
      </w:r>
      <w:r>
        <w:t xml:space="preserve"> 1 after the application deadline, they can apply by providing JGU with a certificate (by the current higher education institution) stating they have earned at least 135 credits. Applicants with foreign certificates and diplomas have to apply for a temporary Certificate of Recognition at JGU. The total number of credits must be visible on the certificate. </w:t>
      </w:r>
    </w:p>
    <w:p w14:paraId="0B8BC177" w14:textId="38841007" w:rsidR="000552A6" w:rsidRDefault="0073098A" w:rsidP="0073098A">
      <w:pPr>
        <w:rPr>
          <w:rFonts w:cs="Arial"/>
          <w:color w:val="FF0000"/>
          <w:highlight w:val="lightGray"/>
        </w:rPr>
      </w:pPr>
      <w:r>
        <w:rPr>
          <w:color w:val="FF0000"/>
          <w:highlight w:val="lightGray"/>
        </w:rPr>
        <w:t xml:space="preserve">[Optional, please select if proof of a specific number of credits is required in </w:t>
      </w:r>
      <w:r w:rsidR="004E444C">
        <w:rPr>
          <w:color w:val="FF0000"/>
          <w:highlight w:val="lightGray"/>
        </w:rPr>
        <w:t>para.</w:t>
      </w:r>
      <w:r>
        <w:rPr>
          <w:color w:val="FF0000"/>
          <w:highlight w:val="lightGray"/>
        </w:rPr>
        <w:t xml:space="preserve"> 1, no. X concerning subject-specific admission requirements:] Option A: In this case, applicants have to be able to prove that they have earned at least 60 credits in the subjects listed under </w:t>
      </w:r>
      <w:r w:rsidR="004E444C">
        <w:rPr>
          <w:color w:val="FF0000"/>
          <w:highlight w:val="lightGray"/>
        </w:rPr>
        <w:t>para.</w:t>
      </w:r>
      <w:r>
        <w:rPr>
          <w:color w:val="FF0000"/>
          <w:highlight w:val="lightGray"/>
        </w:rPr>
        <w:t xml:space="preserve"> 1, no. X. Option B: The requirement listed under </w:t>
      </w:r>
      <w:r w:rsidR="004E444C">
        <w:rPr>
          <w:color w:val="FF0000"/>
          <w:highlight w:val="lightGray"/>
        </w:rPr>
        <w:t>para.</w:t>
      </w:r>
      <w:r>
        <w:rPr>
          <w:color w:val="FF0000"/>
          <w:highlight w:val="lightGray"/>
        </w:rPr>
        <w:t xml:space="preserve"> 1, no. X has to be fulfilled before the application deadline.]</w:t>
      </w:r>
    </w:p>
    <w:p w14:paraId="62558987" w14:textId="453C5906" w:rsidR="000552A6" w:rsidRDefault="0073098A" w:rsidP="0073098A">
      <w:pPr>
        <w:rPr>
          <w:rFonts w:cs="Arial"/>
        </w:rPr>
      </w:pPr>
      <w:r>
        <w:rPr>
          <w:color w:val="FF0000"/>
          <w:highlight w:val="lightGray"/>
        </w:rPr>
        <w:t xml:space="preserve">[Optional, please select if a certain grade is required in </w:t>
      </w:r>
      <w:r w:rsidR="004E444C">
        <w:rPr>
          <w:color w:val="FF0000"/>
          <w:highlight w:val="lightGray"/>
        </w:rPr>
        <w:t>para.</w:t>
      </w:r>
      <w:r>
        <w:rPr>
          <w:color w:val="FF0000"/>
          <w:highlight w:val="lightGray"/>
        </w:rPr>
        <w:t xml:space="preserve"> 1, no. Y as an admission criterion:] </w:t>
      </w:r>
      <w:r>
        <w:rPr>
          <w:color w:val="FF0000"/>
        </w:rPr>
        <w:t xml:space="preserve">Pursuant to </w:t>
      </w:r>
      <w:r w:rsidR="004E444C">
        <w:rPr>
          <w:color w:val="FF0000"/>
        </w:rPr>
        <w:t>para.</w:t>
      </w:r>
      <w:r>
        <w:rPr>
          <w:color w:val="FF0000"/>
        </w:rPr>
        <w:t xml:space="preserve"> 1, no. Y, the average grade is based on previously completed examinations. These must be stated on the certificate. The final result of the bachelor’s degree is not taken into consideration.]</w:t>
      </w:r>
      <w:r>
        <w:t xml:space="preserve"> </w:t>
      </w:r>
    </w:p>
    <w:p w14:paraId="63672CA8" w14:textId="4C29E329" w:rsidR="0073098A" w:rsidRDefault="0073098A" w:rsidP="0073098A">
      <w:pPr>
        <w:rPr>
          <w:rFonts w:cs="Arial"/>
          <w:color w:val="FF0000"/>
        </w:rPr>
      </w:pPr>
      <w:r>
        <w:t xml:space="preserve">If there are only a limited number of places available for the </w:t>
      </w:r>
      <w:r w:rsidR="00B57370">
        <w:t>master’s degree program</w:t>
      </w:r>
      <w:r>
        <w:t xml:space="preserve">, admission will be done according to the university’s selection </w:t>
      </w:r>
      <w:r w:rsidR="003F00E7">
        <w:t xml:space="preserve">statutes </w:t>
      </w:r>
      <w:r>
        <w:t>(</w:t>
      </w:r>
      <w:r>
        <w:rPr>
          <w:i/>
        </w:rPr>
        <w:t>Hochschulauswahlsatzung</w:t>
      </w:r>
      <w:r>
        <w:t>). The final grade on the bachelor’s degree will not be taken into consideration.</w:t>
      </w:r>
    </w:p>
    <w:p w14:paraId="08290546" w14:textId="5C179E1E" w:rsidR="0073098A" w:rsidRDefault="0073098A" w:rsidP="0073098A">
      <w:pPr>
        <w:rPr>
          <w:rFonts w:cs="Arial"/>
        </w:rPr>
      </w:pPr>
      <w:r>
        <w:t xml:space="preserve">Applicants that are accepted into the </w:t>
      </w:r>
      <w:r w:rsidR="00B57370">
        <w:t>master’s degree program</w:t>
      </w:r>
      <w:r>
        <w:t xml:space="preserve"> on the basis of the requirements stated under (1) have to submit a document proving the successful completion of their bachelor’s degree before the deadline stated on the official letter of admission. It must meet the general and subject-specific admission requirements. If proof is not provided on time, admission to the </w:t>
      </w:r>
      <w:r w:rsidR="00B57370">
        <w:t>master’s degree program</w:t>
      </w:r>
      <w:r>
        <w:t xml:space="preserve"> will be rescinded. </w:t>
      </w:r>
    </w:p>
    <w:p w14:paraId="28BBF28C" w14:textId="1119D9B7" w:rsidR="0073098A" w:rsidRPr="00AE6530" w:rsidRDefault="0073098A" w:rsidP="0073098A">
      <w:pPr>
        <w:rPr>
          <w:rFonts w:cs="Arial"/>
          <w:color w:val="FF0000"/>
          <w:highlight w:val="lightGray"/>
        </w:rPr>
      </w:pPr>
      <w:r>
        <w:t xml:space="preserve">[Optional:](5) Students that neither obtained their university entrance qualification at a German-speaking institution nor completed a degree in a German-language program must submit a document proving their German proficiency is level (DSH X) according to the </w:t>
      </w:r>
      <w:r w:rsidR="00B94D83">
        <w:t>German Language Proficiency Examination for Admission to Higher Education for Foreign Applicants</w:t>
      </w:r>
      <w:r w:rsidR="00B94D83" w:rsidRPr="00EB78AA">
        <w:rPr>
          <w:i/>
        </w:rPr>
        <w:t xml:space="preserve"> </w:t>
      </w:r>
      <w:r w:rsidR="00B94D83">
        <w:rPr>
          <w:i/>
        </w:rPr>
        <w:t>(</w:t>
      </w:r>
      <w:r w:rsidRPr="00EB78AA">
        <w:rPr>
          <w:i/>
        </w:rPr>
        <w:t>Deutsche Sprachprüfung für den Hochschulzugang ausländischer Studienbewerber</w:t>
      </w:r>
      <w:r w:rsidR="00B94D83">
        <w:rPr>
          <w:i/>
        </w:rPr>
        <w:t>)</w:t>
      </w:r>
      <w:r>
        <w:t xml:space="preserve"> () in order to enroll. [Optional] The document must be submitted by the end of the first semester after the student has been enrolled at JGU.</w:t>
      </w:r>
    </w:p>
    <w:p w14:paraId="4D54AD77" w14:textId="3265EED7" w:rsidR="0073098A" w:rsidRDefault="0073098A" w:rsidP="0073098A">
      <w:pPr>
        <w:tabs>
          <w:tab w:val="left" w:pos="480"/>
        </w:tabs>
        <w:rPr>
          <w:rFonts w:cs="Arial"/>
        </w:rPr>
      </w:pPr>
      <w:r>
        <w:t>[If (5) was selected:](6)</w:t>
      </w:r>
      <w:r>
        <w:rPr>
          <w:snapToGrid w:val="0"/>
        </w:rPr>
        <w:t xml:space="preserve"> </w:t>
      </w:r>
      <w:r>
        <w:t xml:space="preserve">Applicants who fulfill the requirements still have to successfully pass through the admissions process to be admitted to the </w:t>
      </w:r>
      <w:r w:rsidR="00B57370">
        <w:t>master’s degree program</w:t>
      </w:r>
      <w:r>
        <w:t xml:space="preserve"> </w:t>
      </w:r>
      <w:r>
        <w:rPr>
          <w:color w:val="FF0000"/>
        </w:rPr>
        <w:t>▀.</w:t>
      </w:r>
      <w:r>
        <w:t xml:space="preserve"> If there are only a limited number of places available for the </w:t>
      </w:r>
      <w:r w:rsidR="00B57370">
        <w:t>master’s degree program</w:t>
      </w:r>
      <w:r>
        <w:t xml:space="preserve">, students will be admitted according to the university’s selection </w:t>
      </w:r>
      <w:r w:rsidR="003F00E7">
        <w:t>statutes</w:t>
      </w:r>
      <w:r>
        <w:t xml:space="preserve"> (</w:t>
      </w:r>
      <w:r>
        <w:rPr>
          <w:i/>
        </w:rPr>
        <w:t>Hochschulauswahlsatzung</w:t>
      </w:r>
      <w:r>
        <w:t>).</w:t>
      </w:r>
    </w:p>
    <w:p w14:paraId="448F8872" w14:textId="77777777" w:rsidR="00CE572D" w:rsidRDefault="00CE572D" w:rsidP="0073098A">
      <w:pPr>
        <w:tabs>
          <w:tab w:val="left" w:pos="480"/>
        </w:tabs>
        <w:rPr>
          <w:rFonts w:cs="Arial"/>
        </w:rPr>
      </w:pPr>
    </w:p>
    <w:p w14:paraId="51724B90" w14:textId="77777777" w:rsidR="00CE572D" w:rsidRDefault="00CE572D" w:rsidP="00CE572D">
      <w:pPr>
        <w:pStyle w:val="berschrift1"/>
      </w:pPr>
      <w:bookmarkStart w:id="5" w:name="_Toc321319983"/>
      <w:bookmarkStart w:id="6" w:name="_Toc522804401"/>
      <w:r>
        <w:lastRenderedPageBreak/>
        <w:t>Section 3</w:t>
      </w:r>
      <w:r>
        <w:tab/>
      </w:r>
      <w:r>
        <w:br/>
        <w:t>Scope and Type of the Master's Examination</w:t>
      </w:r>
      <w:bookmarkEnd w:id="5"/>
      <w:bookmarkEnd w:id="6"/>
    </w:p>
    <w:p w14:paraId="28C9BE76" w14:textId="77777777" w:rsidR="00CE572D" w:rsidRDefault="00CE572D" w:rsidP="00CE572D">
      <w:pPr>
        <w:rPr>
          <w:rFonts w:cs="Arial"/>
        </w:rPr>
      </w:pPr>
      <w:r>
        <w:t>(1) The master’s examination consists of the following examinations:</w:t>
      </w:r>
    </w:p>
    <w:p w14:paraId="5E9C84F7" w14:textId="5FA93C3D" w:rsidR="00CE572D" w:rsidRDefault="00CE572D" w:rsidP="00CE572D">
      <w:pPr>
        <w:rPr>
          <w:rFonts w:cs="Arial"/>
        </w:rPr>
      </w:pPr>
      <w:r>
        <w:t xml:space="preserve">1. The module examinations taken over the course of the degree </w:t>
      </w:r>
      <w:r w:rsidR="003F00E7">
        <w:t>program</w:t>
      </w:r>
    </w:p>
    <w:p w14:paraId="35A5D83D" w14:textId="77777777" w:rsidR="00CE572D" w:rsidRDefault="00CE572D" w:rsidP="00CE572D">
      <w:pPr>
        <w:rPr>
          <w:rFonts w:cs="Arial"/>
        </w:rPr>
      </w:pPr>
      <w:r>
        <w:t>2. The written master's thesis</w:t>
      </w:r>
    </w:p>
    <w:p w14:paraId="36657434" w14:textId="3A13C767" w:rsidR="00CE572D" w:rsidRDefault="00CE572D" w:rsidP="00CE572D">
      <w:pPr>
        <w:rPr>
          <w:rFonts w:cs="Arial"/>
        </w:rPr>
      </w:pPr>
      <w:r>
        <w:t>3. The final oral exam</w:t>
      </w:r>
      <w:r w:rsidR="00364A38">
        <w:t>.</w:t>
      </w:r>
    </w:p>
    <w:p w14:paraId="6D27B2C6" w14:textId="1A44843C" w:rsidR="00CE572D" w:rsidRDefault="00EB78AA" w:rsidP="00CE572D">
      <w:pPr>
        <w:rPr>
          <w:rFonts w:cs="Arial"/>
        </w:rPr>
      </w:pPr>
      <w:r>
        <w:t xml:space="preserve">(2) </w:t>
      </w:r>
      <w:r w:rsidR="00CE572D">
        <w:t>The special requirements of disabled students are to be taken into account in correspondence with the principle of equal opportunity. If a candidate provides evidence that he or she is not able to take an examination completely or in part due to a prolonged or permanent disability, the chair of the examination committee will allow him or her to extend the preparation period or to compensate for said examination in some equivalent way. The examination committee may demand a medical certificate, in some cases issued by a public health officer (</w:t>
      </w:r>
      <w:r w:rsidR="00CE572D">
        <w:rPr>
          <w:i/>
        </w:rPr>
        <w:t>Amtsarzt</w:t>
      </w:r>
      <w:r w:rsidR="00CE572D">
        <w:t>). The same applies to coursework.</w:t>
      </w:r>
    </w:p>
    <w:p w14:paraId="27024580" w14:textId="0B886C60" w:rsidR="00CE572D" w:rsidRPr="005C1227" w:rsidRDefault="00CE572D" w:rsidP="00CE572D">
      <w:pPr>
        <w:rPr>
          <w:rFonts w:cs="Arial"/>
          <w:lang w:val="de-DE"/>
        </w:rPr>
      </w:pPr>
      <w:r>
        <w:t xml:space="preserve">(3) Only students who are duly enrolled in the </w:t>
      </w:r>
      <w:r w:rsidR="00B57370">
        <w:t>master’s degree program</w:t>
      </w:r>
      <w:r>
        <w:t xml:space="preserve"> </w:t>
      </w:r>
      <w:r>
        <w:rPr>
          <w:color w:val="FF0000"/>
        </w:rPr>
        <w:t>▀</w:t>
      </w:r>
      <w:r>
        <w:t xml:space="preserve"> at Johannes Gutenberg University Mainz at the time of the examination or coursework are eligible to complete it for credit. Students who are on an academic leave of absence or who have lost their eligibility to take examinations may not participate. </w:t>
      </w:r>
      <w:r w:rsidRPr="005C1227">
        <w:rPr>
          <w:lang w:val="de-DE"/>
        </w:rPr>
        <w:t xml:space="preserve">This does not affect section 2 </w:t>
      </w:r>
      <w:r w:rsidR="004E444C" w:rsidRPr="005C1227">
        <w:rPr>
          <w:lang w:val="de-DE"/>
        </w:rPr>
        <w:t>para.</w:t>
      </w:r>
      <w:r w:rsidRPr="005C1227">
        <w:rPr>
          <w:lang w:val="de-DE"/>
        </w:rPr>
        <w:t xml:space="preserve"> 7 of the Regulations for Admission and Enrollment (</w:t>
      </w:r>
      <w:r w:rsidRPr="005C1227">
        <w:rPr>
          <w:i/>
          <w:lang w:val="de-DE"/>
        </w:rPr>
        <w:t>Ordnung für die Zulassung und Einschreibung von Studienbewerberinnen und Studienbewerbern</w:t>
      </w:r>
      <w:r w:rsidRPr="005C1227">
        <w:rPr>
          <w:lang w:val="de-DE"/>
        </w:rPr>
        <w:t>) at Johannes Gutenberg University Mainz.</w:t>
      </w:r>
    </w:p>
    <w:p w14:paraId="1D3104D0" w14:textId="77777777" w:rsidR="00CE572D" w:rsidRPr="005C1227" w:rsidRDefault="00CE572D" w:rsidP="0073098A">
      <w:pPr>
        <w:tabs>
          <w:tab w:val="left" w:pos="480"/>
        </w:tabs>
        <w:rPr>
          <w:rFonts w:cs="Arial"/>
          <w:lang w:val="de-DE"/>
        </w:rPr>
      </w:pPr>
    </w:p>
    <w:p w14:paraId="7C9253B6" w14:textId="59A3F73B" w:rsidR="00CE572D" w:rsidRDefault="00CE572D" w:rsidP="00CE572D">
      <w:pPr>
        <w:pStyle w:val="berschrift1"/>
      </w:pPr>
      <w:bookmarkStart w:id="7" w:name="_Toc321319984"/>
      <w:bookmarkStart w:id="8" w:name="_Toc522804402"/>
      <w:r>
        <w:t>Section 4</w:t>
      </w:r>
      <w:r>
        <w:br/>
        <w:t xml:space="preserve">Standard Period of Study, </w:t>
      </w:r>
      <w:bookmarkEnd w:id="7"/>
      <w:r>
        <w:t>Academic Advising, Deadlines</w:t>
      </w:r>
      <w:bookmarkEnd w:id="8"/>
    </w:p>
    <w:p w14:paraId="14A25725" w14:textId="0BB2502E" w:rsidR="00CE572D" w:rsidRDefault="00CE572D" w:rsidP="00CE572D">
      <w:pPr>
        <w:rPr>
          <w:rFonts w:cs="Arial"/>
        </w:rPr>
      </w:pPr>
      <w:r>
        <w:t xml:space="preserve">(1) The standard period of study, including the period spent writing the master's thesis and participating in the research colloquium, is two years (4 semesters). In the </w:t>
      </w:r>
      <w:r w:rsidR="00B57370">
        <w:t>master’s degree program</w:t>
      </w:r>
      <w:r>
        <w:t xml:space="preserve">, 120 credits are to be earned (according to section 6 </w:t>
      </w:r>
      <w:r w:rsidR="004E444C">
        <w:t>para.</w:t>
      </w:r>
      <w:r w:rsidR="00797094">
        <w:t xml:space="preserve"> 2)</w:t>
      </w:r>
      <w:r>
        <w:t>.</w:t>
      </w:r>
    </w:p>
    <w:p w14:paraId="32F5DAD1" w14:textId="4582B60A" w:rsidR="00CE572D" w:rsidRDefault="00CE572D" w:rsidP="00CE572D">
      <w:pPr>
        <w:pStyle w:val="Textkrper"/>
        <w:spacing w:line="280" w:lineRule="exact"/>
      </w:pPr>
      <w:r>
        <w:t xml:space="preserve">(2) Studies are densely organized in the interest of preserving the standard </w:t>
      </w:r>
      <w:r w:rsidR="003F00E7">
        <w:t xml:space="preserve">period of </w:t>
      </w:r>
      <w:r>
        <w:t>study</w:t>
      </w:r>
      <w:r w:rsidR="003F00E7">
        <w:t>.</w:t>
      </w:r>
      <w:r>
        <w:t xml:space="preserve"> If signs suggest that a student is in danger of failing to complete the degree, a written invitation to a </w:t>
      </w:r>
      <w:r w:rsidR="004514E0">
        <w:t xml:space="preserve">consultation interview </w:t>
      </w:r>
      <w:commentRangeStart w:id="9"/>
      <w:commentRangeEnd w:id="9"/>
      <w:r>
        <w:t xml:space="preserve">may be delivered to the student. The appointment will focus on the student’s achievements thus far and the reasons for not meeting expectations for the </w:t>
      </w:r>
      <w:r w:rsidR="00B57370">
        <w:t>degree program</w:t>
      </w:r>
      <w:r>
        <w:t xml:space="preserve">; the advisor and the student will also discuss how to ensure a successful completion of the </w:t>
      </w:r>
      <w:r w:rsidR="00B57370">
        <w:t>degree program</w:t>
      </w:r>
      <w:r>
        <w:t>.</w:t>
      </w:r>
    </w:p>
    <w:p w14:paraId="1CD85C7E" w14:textId="1F968767" w:rsidR="00CE572D" w:rsidRDefault="00CE572D" w:rsidP="00CE572D">
      <w:pPr>
        <w:pStyle w:val="Textkrper"/>
        <w:spacing w:line="280" w:lineRule="exact"/>
        <w:rPr>
          <w:rFonts w:cs="Arial"/>
        </w:rPr>
      </w:pPr>
      <w:r>
        <w:t>(3) In order to determine the periods of study that are relevant for the deadlines in these examination regulations, extensions and interruptions shall not be counted if:</w:t>
      </w:r>
    </w:p>
    <w:p w14:paraId="33611C13" w14:textId="77777777" w:rsidR="00CE572D" w:rsidRPr="000552A6" w:rsidRDefault="00CE572D" w:rsidP="000552A6">
      <w:pPr>
        <w:pStyle w:val="Textkrper-Zeileneinzug"/>
      </w:pPr>
      <w:r>
        <w:t>1.</w:t>
      </w:r>
      <w:r>
        <w:tab/>
        <w:t xml:space="preserve">They come as a result of being involved as an elected member in one of the statutory bodies of a higher education institution or the </w:t>
      </w:r>
      <w:r w:rsidRPr="00797094">
        <w:rPr>
          <w:i/>
        </w:rPr>
        <w:t>Studierendenwerk</w:t>
      </w:r>
      <w:r>
        <w:t>.</w:t>
      </w:r>
    </w:p>
    <w:p w14:paraId="2F7ED7A0" w14:textId="77777777" w:rsidR="00CE572D" w:rsidRDefault="00CE572D" w:rsidP="00CE572D">
      <w:pPr>
        <w:pStyle w:val="Textkrper-Zeileneinzug"/>
      </w:pPr>
      <w:r>
        <w:t>2.</w:t>
      </w:r>
      <w:r>
        <w:tab/>
        <w:t>They are due to illness, disability or other reasons out of the student’s control.</w:t>
      </w:r>
    </w:p>
    <w:p w14:paraId="3022DCFC" w14:textId="2A8DAE74" w:rsidR="00CE572D" w:rsidRPr="00797094" w:rsidRDefault="00CE572D" w:rsidP="00797094">
      <w:pPr>
        <w:pStyle w:val="Textkrper-Zeileneinzug"/>
      </w:pPr>
      <w:r>
        <w:t>3.</w:t>
      </w:r>
      <w:r>
        <w:tab/>
        <w:t>They are due to pregnancy or parental leave; in such cases legal deadlines of maternity or parental leave according to the Federal Act on Parental Allowance and Parental Leave (</w:t>
      </w:r>
      <w:r w:rsidR="00797094" w:rsidRPr="00797094">
        <w:rPr>
          <w:i/>
        </w:rPr>
        <w:t>Bundeselterngeld- und Elternzeitgesetz - BEEG</w:t>
      </w:r>
      <w:r>
        <w:t>) are to be taken into account.</w:t>
      </w:r>
      <w:r w:rsidR="00797094">
        <w:t xml:space="preserve"> </w:t>
      </w:r>
    </w:p>
    <w:p w14:paraId="44846A71" w14:textId="77777777" w:rsidR="00CE572D" w:rsidRDefault="00CE572D" w:rsidP="00CE572D">
      <w:pPr>
        <w:tabs>
          <w:tab w:val="left" w:pos="480"/>
        </w:tabs>
        <w:ind w:left="480" w:hanging="480"/>
        <w:rPr>
          <w:rFonts w:cs="Arial"/>
        </w:rPr>
      </w:pPr>
      <w:r>
        <w:t>4.</w:t>
      </w:r>
      <w:r>
        <w:tab/>
        <w:t xml:space="preserve">They come as a result of the student tending to a relative in need of care. </w:t>
      </w:r>
    </w:p>
    <w:p w14:paraId="26F4420D" w14:textId="428E6E8E" w:rsidR="00CE572D" w:rsidRDefault="00CE572D" w:rsidP="00CE572D">
      <w:pPr>
        <w:tabs>
          <w:tab w:val="left" w:pos="480"/>
        </w:tabs>
        <w:ind w:left="480" w:hanging="480"/>
        <w:rPr>
          <w:rFonts w:cs="Arial"/>
        </w:rPr>
      </w:pPr>
      <w:r>
        <w:lastRenderedPageBreak/>
        <w:t>5.</w:t>
      </w:r>
      <w:r>
        <w:tab/>
        <w:t xml:space="preserve">The student has spent relevant extra semesters abroad (max. two); this does not apply to semesters that have been spent abroad in accordance with the examination regulations for the </w:t>
      </w:r>
      <w:r w:rsidR="00B57370">
        <w:t>degree program</w:t>
      </w:r>
      <w:r>
        <w:t>.</w:t>
      </w:r>
    </w:p>
    <w:p w14:paraId="0396ADC4" w14:textId="77777777" w:rsidR="00CE572D" w:rsidRDefault="00CE572D" w:rsidP="00CE572D">
      <w:pPr>
        <w:tabs>
          <w:tab w:val="left" w:pos="480"/>
        </w:tabs>
        <w:ind w:left="480" w:hanging="480"/>
        <w:rPr>
          <w:rFonts w:cs="Arial"/>
        </w:rPr>
      </w:pPr>
      <w:r>
        <w:t>6.</w:t>
      </w:r>
      <w:r>
        <w:tab/>
      </w:r>
      <w:r>
        <w:rPr>
          <w:color w:val="FF0000"/>
        </w:rPr>
        <w:t xml:space="preserve">[optional] They are work-related absences occurring during a cooperative, work-study or dual study program. </w:t>
      </w:r>
      <w:r>
        <w:t xml:space="preserve"> </w:t>
      </w:r>
    </w:p>
    <w:p w14:paraId="4694DECB" w14:textId="77777777" w:rsidR="00CE572D" w:rsidRDefault="00CE572D" w:rsidP="00CE572D">
      <w:pPr>
        <w:rPr>
          <w:rFonts w:cs="Arial"/>
        </w:rPr>
      </w:pPr>
      <w:r>
        <w:t>* Students are obliged to submit proof according to (1).</w:t>
      </w:r>
    </w:p>
    <w:p w14:paraId="5833DA20" w14:textId="6D341E04" w:rsidR="00CE572D" w:rsidRDefault="00CE572D" w:rsidP="00CE572D">
      <w:pPr>
        <w:rPr>
          <w:rFonts w:cs="Arial"/>
        </w:rPr>
      </w:pPr>
      <w:r>
        <w:t xml:space="preserve">The deadline for a paper or other examinations or coursework to be completed at home cannot be interrupted for maternity or paternity leave. </w:t>
      </w:r>
      <w:r w:rsidR="004876B7">
        <w:t xml:space="preserve">As a rule, the </w:t>
      </w:r>
      <w:r w:rsidR="00A513DF">
        <w:t>topic</w:t>
      </w:r>
      <w:r>
        <w:t xml:space="preserve"> </w:t>
      </w:r>
      <w:r w:rsidR="004876B7">
        <w:t xml:space="preserve">is considered as not assigned. </w:t>
      </w:r>
      <w:r>
        <w:t>After maternity and/or parental leave has ended, the candidate can apply to receive a new topic.</w:t>
      </w:r>
    </w:p>
    <w:p w14:paraId="5843E94C" w14:textId="77777777" w:rsidR="0073098A" w:rsidRDefault="0073098A" w:rsidP="0073098A"/>
    <w:p w14:paraId="4059E320" w14:textId="0082CCB3" w:rsidR="00C75F48" w:rsidRDefault="00C75F48" w:rsidP="00C75F48">
      <w:pPr>
        <w:pStyle w:val="berschrift1"/>
      </w:pPr>
      <w:bookmarkStart w:id="10" w:name="_Toc321319985"/>
      <w:bookmarkStart w:id="11" w:name="_Toc522804403"/>
      <w:r>
        <w:t>Section 5</w:t>
      </w:r>
      <w:r>
        <w:br/>
        <w:t>Modularized Program Structure, Credit System, Active Participation, Coursework, Attendance</w:t>
      </w:r>
      <w:bookmarkEnd w:id="10"/>
      <w:bookmarkEnd w:id="11"/>
    </w:p>
    <w:p w14:paraId="536B0649" w14:textId="37972A51" w:rsidR="00C75F48" w:rsidRDefault="00C75F48" w:rsidP="00C75F48">
      <w:pPr>
        <w:rPr>
          <w:rFonts w:cs="Arial"/>
        </w:rPr>
      </w:pPr>
      <w:r>
        <w:t xml:space="preserve">(1) Courses and internships in the </w:t>
      </w:r>
      <w:r w:rsidR="00B57370">
        <w:t>master’s degree program</w:t>
      </w:r>
      <w:r>
        <w:t xml:space="preserve"> are offered as parts of modules. A “module” is a topical,</w:t>
      </w:r>
      <w:r w:rsidR="003F00E7">
        <w:t xml:space="preserve"> organizational</w:t>
      </w:r>
      <w:r>
        <w:t xml:space="preserve"> and coherent teaching unit. Every module is usually completed with a module examination according to section 11. In individual justified cases, a module examination may consist of partial examinations. In justified cases, several modules may be completed with one </w:t>
      </w:r>
      <w:r w:rsidR="00F558AB">
        <w:t xml:space="preserve">single </w:t>
      </w:r>
      <w:r>
        <w:t>examination. For</w:t>
      </w:r>
      <w:r w:rsidR="00A513DF">
        <w:t xml:space="preserve"> the examinations according to clause 4 and 5</w:t>
      </w:r>
      <w:r>
        <w:t>, section 11 applies.</w:t>
      </w:r>
    </w:p>
    <w:p w14:paraId="4BDCF92F" w14:textId="7884BC63" w:rsidR="00C75F48" w:rsidRDefault="00C75F48" w:rsidP="00C75F48">
      <w:pPr>
        <w:pStyle w:val="Textkrper"/>
        <w:spacing w:line="280" w:lineRule="exact"/>
      </w:pPr>
      <w:r>
        <w:t>(2) The number of credits (</w:t>
      </w:r>
      <w:r w:rsidRPr="00797094">
        <w:rPr>
          <w:i/>
        </w:rPr>
        <w:t>Leistungspunkte = LP</w:t>
      </w:r>
      <w:r>
        <w:t>) to be earned in a module corresponds to the approximate workload; the workload refers to the hours spent in the module’s mandatory courses, the hours spent preparing and studying the course content, the hours spent on coursework</w:t>
      </w:r>
      <w:r w:rsidR="00774C11">
        <w:t xml:space="preserve"> and examinations</w:t>
      </w:r>
      <w:r>
        <w:t xml:space="preserve"> (if applicable) and the hours spent studying for the module examination and then taking the examination itself. The same applies to the master's thesis and the final oral examination. Credits are awarded after successful completion of the module pursuant to </w:t>
      </w:r>
      <w:r w:rsidR="004E444C">
        <w:t>para.</w:t>
      </w:r>
      <w:r>
        <w:t xml:space="preserve"> 1 and including all coursework required for the module courses (</w:t>
      </w:r>
      <w:r w:rsidR="004E444C">
        <w:t>para.</w:t>
      </w:r>
      <w:r>
        <w:t xml:space="preserve"> 4), or after successful completion of the master’s thesis and the final oral examination. The standards for the allocation of credit points correspond to the European Credit Transfer and Accumulation System (ECTS).</w:t>
      </w:r>
    </w:p>
    <w:p w14:paraId="775051AB" w14:textId="7CFEDF18" w:rsidR="00C75F48" w:rsidRDefault="00697246" w:rsidP="00C75F48">
      <w:pPr>
        <w:rPr>
          <w:rFonts w:cs="Arial"/>
        </w:rPr>
      </w:pPr>
      <w:r w:rsidRPr="003F00E7" w:rsidDel="00697246">
        <w:rPr>
          <w:rFonts w:cs="Arial"/>
          <w:szCs w:val="20"/>
        </w:rPr>
        <w:t xml:space="preserve"> </w:t>
      </w:r>
      <w:r w:rsidR="00C75F48">
        <w:t>(3) To receive credit points for a module, the module examination needs to be completed according to section 11 after regularly and actively participating in the module's courses. Proof of active participation is not necessary for lectures. Exceptions are defined in the attachment. The conditions that need to be met in order for a student's attendance to be classed as "active" will be announced at the start of the course at the latest; active attendance may require students to read certain literature, give short presentations, write short reports, complete specific tasks, etc.</w:t>
      </w:r>
      <w:r w:rsidR="003F00E7">
        <w:t xml:space="preserve"> Active</w:t>
      </w:r>
      <w:r w:rsidR="00C75F48">
        <w:t xml:space="preserve"> Participation requirements are to be kept to appropriate levels. In individual justified cases, the regular attendance requirement according to </w:t>
      </w:r>
      <w:r w:rsidR="009D6801">
        <w:t>clause 1</w:t>
      </w:r>
      <w:r w:rsidR="00C75F48">
        <w:t xml:space="preserve"> may be waived. Students must promptly submit a request to the </w:t>
      </w:r>
      <w:r w:rsidR="00135693">
        <w:t>course lecturer</w:t>
      </w:r>
      <w:r w:rsidR="00C75F48">
        <w:t xml:space="preserve"> responsible for the class, usually before the first course of the module starts. The examination committee will come to an agreement upon this matter with the respective subject representatives.</w:t>
      </w:r>
    </w:p>
    <w:p w14:paraId="5F5A05E7" w14:textId="1556CC31" w:rsidR="00C75F48" w:rsidRDefault="00C75F48" w:rsidP="00C75F48">
      <w:pPr>
        <w:rPr>
          <w:rFonts w:cs="Arial"/>
        </w:rPr>
      </w:pPr>
      <w:r>
        <w:t>(4) In addition to passing the module examination, the proper completion of a module may, insofar as it is regulated in the respective attachment, depend on the succe</w:t>
      </w:r>
      <w:r w:rsidR="009D6801">
        <w:t xml:space="preserve">ssful completion of coursework. </w:t>
      </w:r>
      <w:r>
        <w:t>The primary purpose</w:t>
      </w:r>
      <w:r w:rsidR="004C750D">
        <w:t xml:space="preserve"> </w:t>
      </w:r>
      <w:r>
        <w:t xml:space="preserve">of coursework is to assess the student’s individual performance; coursework grading does not influence the module grade. Coursework can only be certified if the student has proof of having regularly attended courses; </w:t>
      </w:r>
      <w:r w:rsidR="004E444C">
        <w:t>para.</w:t>
      </w:r>
      <w:r>
        <w:t xml:space="preserve"> 3, </w:t>
      </w:r>
      <w:r w:rsidR="00BE1933">
        <w:t>clause 3-5</w:t>
      </w:r>
      <w:r>
        <w:t xml:space="preserve"> </w:t>
      </w:r>
      <w:r>
        <w:lastRenderedPageBreak/>
        <w:t>remain unaffected. Coursework is considered completed if it is graded with at least “passed” (</w:t>
      </w:r>
      <w:r>
        <w:rPr>
          <w:i/>
        </w:rPr>
        <w:t>bestanden</w:t>
      </w:r>
      <w:r>
        <w:t>) or “</w:t>
      </w:r>
      <w:r w:rsidR="00A513DF">
        <w:t>sufficient</w:t>
      </w:r>
      <w:r>
        <w:t>” (4.0) (</w:t>
      </w:r>
      <w:r>
        <w:rPr>
          <w:i/>
        </w:rPr>
        <w:t>ausreichend</w:t>
      </w:r>
      <w:r w:rsidR="00BE1933">
        <w:t>) according to section 17 para. 1</w:t>
      </w:r>
      <w:r>
        <w:t>. The assessment of coursework may comprise several parts and consists mainly of written sit-down examinations, oral examinations, minutes, portfolios, colloquia, presentations, practical exercis</w:t>
      </w:r>
      <w:r w:rsidR="00BE1933">
        <w:t xml:space="preserve">es and term papers. Details are </w:t>
      </w:r>
      <w:r>
        <w:t xml:space="preserve">specified in the attachment. If the attachment lists several types of assessment, the </w:t>
      </w:r>
      <w:r w:rsidR="00135693">
        <w:t>lecturer</w:t>
      </w:r>
      <w:r>
        <w:t xml:space="preserve"> of the respective course will inform students of the type and duration of the assessment by the start of classes at the latest. If coursework is graded, it is graded according to section 17.</w:t>
      </w:r>
    </w:p>
    <w:p w14:paraId="1BA167A1" w14:textId="4291D285" w:rsidR="00C75F48" w:rsidRDefault="00C75F48" w:rsidP="00C75F48">
      <w:pPr>
        <w:rPr>
          <w:rFonts w:cs="Arial"/>
        </w:rPr>
      </w:pPr>
      <w:r>
        <w:t xml:space="preserve">(5) Attendance is considered regular if the student was present in all class periods scheduled by the course teacher during the semester. A student's attendance can also be classed as regular if the student was absent in up to two single class periods or a maximum of four course hours (see </w:t>
      </w:r>
      <w:r w:rsidR="004E444C">
        <w:t>para.</w:t>
      </w:r>
      <w:r w:rsidR="00BE1933">
        <w:t xml:space="preserve"> 6 clause 3</w:t>
      </w:r>
      <w:r>
        <w:t>). In individual justified cases, exceptions can be made.</w:t>
      </w:r>
    </w:p>
    <w:p w14:paraId="1A1156DE" w14:textId="77F6DB9B" w:rsidR="00C75F48" w:rsidRDefault="00C75F48" w:rsidP="00816972">
      <w:r>
        <w:t xml:space="preserve">(6) The course </w:t>
      </w:r>
      <w:r w:rsidR="00135693">
        <w:t>lecturer</w:t>
      </w:r>
      <w:r>
        <w:t xml:space="preserve"> will inform the chair of the examination co</w:t>
      </w:r>
      <w:r w:rsidR="00BE1933">
        <w:t>mmittee (according to section 7 para. 2 clause 2</w:t>
      </w:r>
      <w:r>
        <w:t xml:space="preserve"> of the course participants immediately after the course has ended; the names of the students who did not attend the course on a regular basis will also be passed on to the chair. If examinations and coursework are to be completed, the examination committee is to be immediately informed of the students’ results as well as the students who did not take the examinations or complete their coursework. For lectures, successful completion of the module examination serves as proof of regular attendance; </w:t>
      </w:r>
      <w:r w:rsidR="00BE1933">
        <w:t>clause 1</w:t>
      </w:r>
      <w:r>
        <w:t xml:space="preserve"> do</w:t>
      </w:r>
      <w:r w:rsidR="00BE1933">
        <w:t>es</w:t>
      </w:r>
      <w:r>
        <w:t xml:space="preserve"> not apply.</w:t>
      </w:r>
    </w:p>
    <w:p w14:paraId="263E5226" w14:textId="08DB7492" w:rsidR="00C75F48" w:rsidRDefault="00C75F48" w:rsidP="00C75F48">
      <w:pPr>
        <w:pStyle w:val="Textkrper"/>
        <w:spacing w:line="280" w:lineRule="exact"/>
        <w:rPr>
          <w:rFonts w:cs="Arial"/>
          <w:szCs w:val="20"/>
        </w:rPr>
      </w:pPr>
      <w:r>
        <w:t>(7) To attend a course, a binding registration is usually required before the deadline. In agreement wit</w:t>
      </w:r>
      <w:r w:rsidR="00135693">
        <w:t>h the course lecturer</w:t>
      </w:r>
      <w:r>
        <w:t>, the chair of the examination committee sets the respective dates and procedures for registration. If the number of registrations exceeds the number of available places, the allocation of places is governed by the valid version of the Senate's directive on admission to courses with limited places.</w:t>
      </w:r>
    </w:p>
    <w:p w14:paraId="3FE24AEE" w14:textId="1F9A1A9B" w:rsidR="00C75F48" w:rsidRDefault="00C75F48" w:rsidP="00C75F48">
      <w:pPr>
        <w:rPr>
          <w:rFonts w:cs="Arial"/>
        </w:rPr>
      </w:pPr>
      <w:r>
        <w:t xml:space="preserve">(8) If students fail to attend courses on a regular basis (the exception being lectures) and fail to receive the approval of the course </w:t>
      </w:r>
      <w:r w:rsidR="00135693">
        <w:t>lecturer</w:t>
      </w:r>
      <w:r>
        <w:t xml:space="preserve">, the course can be repeated twice. Under no circumstances may a course in which coursework has already been completed be </w:t>
      </w:r>
      <w:r w:rsidR="003D1B56">
        <w:t xml:space="preserve">repeated </w:t>
      </w:r>
      <w:r>
        <w:t>in order to obtain more credits or a better grade.</w:t>
      </w:r>
    </w:p>
    <w:p w14:paraId="67615F1B" w14:textId="0B3E4907" w:rsidR="00C75F48" w:rsidRDefault="00C75F48" w:rsidP="00C75F48">
      <w:pPr>
        <w:rPr>
          <w:rFonts w:cs="Arial"/>
        </w:rPr>
      </w:pPr>
      <w:r>
        <w:t>(9) Failed coursework should be redone at the next possible date.</w:t>
      </w:r>
      <w:r w:rsidR="002823D1">
        <w:t xml:space="preserve"> </w:t>
      </w:r>
      <w:r>
        <w:t>In some cases, repetition of failed coursework is only allowed twice. Details are specified in the attachment. Under no circumstances may coursework be redone in order to obtain more credits or a better grade.</w:t>
      </w:r>
    </w:p>
    <w:p w14:paraId="1D8A7610" w14:textId="309320A8" w:rsidR="00C75F48" w:rsidRDefault="00C75F48" w:rsidP="00C75F48">
      <w:pPr>
        <w:rPr>
          <w:rFonts w:cs="Arial"/>
        </w:rPr>
      </w:pPr>
      <w:r>
        <w:t xml:space="preserve">(10) Credits for individual courses will only be confirmed upon written request and for transfer purposes only. If, in individual cases, </w:t>
      </w:r>
      <w:r w:rsidR="004C750D">
        <w:t>documentation for single coursework or examinations is</w:t>
      </w:r>
      <w:r>
        <w:t xml:space="preserve"> needed, a</w:t>
      </w:r>
      <w:r w:rsidR="004C750D">
        <w:t xml:space="preserve"> proof of study will be issued</w:t>
      </w:r>
      <w:r>
        <w:t xml:space="preserve">. The </w:t>
      </w:r>
      <w:r w:rsidR="004C750D">
        <w:t>proof of study</w:t>
      </w:r>
      <w:r>
        <w:t xml:space="preserve"> contains at minimum the name of the student, the name of the course and the module, the semester in which the course was attended, the number of credits, and, if coursework was completed, the type and result. </w:t>
      </w:r>
    </w:p>
    <w:p w14:paraId="63E002D3" w14:textId="24F6B3E7" w:rsidR="00C75F48" w:rsidRDefault="00C75F48" w:rsidP="00C75F48">
      <w:pPr>
        <w:pStyle w:val="Textkrper2"/>
        <w:shd w:val="clear" w:color="auto" w:fill="C0C0C0"/>
        <w:spacing w:line="280" w:lineRule="exact"/>
      </w:pPr>
      <w:r>
        <w:t xml:space="preserve">[optional </w:t>
      </w:r>
      <w:r w:rsidR="004E444C">
        <w:t>para.</w:t>
      </w:r>
      <w:r>
        <w:t xml:space="preserve"> 11, if an external interns</w:t>
      </w:r>
      <w:r w:rsidR="004C750D">
        <w:t xml:space="preserve"> </w:t>
      </w:r>
      <w:r>
        <w:t>hip is required:]</w:t>
      </w:r>
    </w:p>
    <w:p w14:paraId="23D94FA4" w14:textId="6CD74DCF" w:rsidR="00C75F48" w:rsidRDefault="00C75F48" w:rsidP="00C75F48">
      <w:pPr>
        <w:shd w:val="clear" w:color="auto" w:fill="C0C0C0"/>
        <w:rPr>
          <w:rFonts w:cs="Arial"/>
          <w:color w:val="FF0000"/>
        </w:rPr>
      </w:pPr>
      <w:r>
        <w:rPr>
          <w:color w:val="FF0000"/>
        </w:rPr>
        <w:t xml:space="preserve">(11) Proof of active participation is required in order to award credits for industry/career internships. The institution where the internship takes place is responsible for providing a letter confirming </w:t>
      </w:r>
      <w:r w:rsidR="00DD5A24">
        <w:rPr>
          <w:color w:val="FF0000"/>
        </w:rPr>
        <w:t xml:space="preserve">active </w:t>
      </w:r>
      <w:r>
        <w:rPr>
          <w:color w:val="FF0000"/>
        </w:rPr>
        <w:t>participation. The letter must include the name of the institution, identifying information about the intern (full name, birth date, student ID number), and the type and length of the internship. The student must also write a report about the internship experience.</w:t>
      </w:r>
    </w:p>
    <w:p w14:paraId="62D10B23" w14:textId="77777777" w:rsidR="00C75F48" w:rsidRDefault="00C75F48" w:rsidP="00C75F48">
      <w:pPr>
        <w:rPr>
          <w:rFonts w:cs="Arial"/>
        </w:rPr>
      </w:pPr>
    </w:p>
    <w:p w14:paraId="08A51F46" w14:textId="67207E94" w:rsidR="00816972" w:rsidRDefault="00816972" w:rsidP="00816972">
      <w:pPr>
        <w:pStyle w:val="berschrift1"/>
      </w:pPr>
      <w:bookmarkStart w:id="12" w:name="_Toc522804404"/>
      <w:bookmarkStart w:id="13" w:name="_Toc321319986"/>
      <w:r>
        <w:lastRenderedPageBreak/>
        <w:t>Section 6</w:t>
      </w:r>
      <w:r>
        <w:br/>
        <w:t>Required Coursework</w:t>
      </w:r>
      <w:r w:rsidR="004C750D">
        <w:t xml:space="preserve"> and Examinations</w:t>
      </w:r>
      <w:r>
        <w:t>, Modules</w:t>
      </w:r>
      <w:bookmarkEnd w:id="12"/>
      <w:r>
        <w:t xml:space="preserve"> </w:t>
      </w:r>
      <w:bookmarkEnd w:id="13"/>
    </w:p>
    <w:p w14:paraId="41AD86F0" w14:textId="0B2FA71A" w:rsidR="00816972" w:rsidRPr="004870EB" w:rsidRDefault="00816972" w:rsidP="00816972">
      <w:r>
        <w:t>(1) The coursework</w:t>
      </w:r>
      <w:r w:rsidR="004C750D">
        <w:t xml:space="preserve"> and examinations</w:t>
      </w:r>
      <w:r>
        <w:t xml:space="preserve"> required in order to successfully complete all courses (mandatory and elective courses) in the </w:t>
      </w:r>
      <w:r w:rsidR="00B57370">
        <w:t>degree program</w:t>
      </w:r>
      <w:r>
        <w:t xml:space="preserve"> of study corresponds to:</w:t>
      </w:r>
    </w:p>
    <w:p w14:paraId="391E7C1B" w14:textId="77777777" w:rsidR="00816972" w:rsidRDefault="00816972" w:rsidP="00816972">
      <w:pPr>
        <w:rPr>
          <w:rFonts w:cs="Arial"/>
        </w:rPr>
      </w:pPr>
      <w:r>
        <w:rPr>
          <w:color w:val="FF0000"/>
        </w:rPr>
        <w:t>▀</w:t>
      </w:r>
      <w:r>
        <w:t xml:space="preserve"> semester hours per week in the mandatory courses and </w:t>
      </w:r>
      <w:r>
        <w:rPr>
          <w:color w:val="FF0000"/>
        </w:rPr>
        <w:t>▀</w:t>
      </w:r>
      <w:r>
        <w:t xml:space="preserve"> in the elective courses.</w:t>
      </w:r>
    </w:p>
    <w:p w14:paraId="618BE642" w14:textId="77777777" w:rsidR="00816972" w:rsidRDefault="00816972" w:rsidP="00816972">
      <w:pPr>
        <w:rPr>
          <w:rFonts w:cs="Arial"/>
        </w:rPr>
      </w:pPr>
      <w:r>
        <w:t>Details are specified in the attachment.</w:t>
      </w:r>
    </w:p>
    <w:p w14:paraId="4F0D52A2" w14:textId="3E2A390F" w:rsidR="00816972" w:rsidRDefault="00816972" w:rsidP="00816972">
      <w:pPr>
        <w:rPr>
          <w:rFonts w:cs="Arial"/>
        </w:rPr>
      </w:pPr>
      <w:r>
        <w:t xml:space="preserve">(2) In order to successfully complete the </w:t>
      </w:r>
      <w:r w:rsidR="00B57370">
        <w:t>degree program</w:t>
      </w:r>
      <w:r>
        <w:t xml:space="preserve">, the student has to provide proof of 120 credits; in detail: </w:t>
      </w:r>
    </w:p>
    <w:p w14:paraId="4D27F6D4" w14:textId="77777777" w:rsidR="00816972" w:rsidRDefault="00816972" w:rsidP="00816972">
      <w:pPr>
        <w:ind w:left="960" w:hanging="480"/>
        <w:rPr>
          <w:rFonts w:cs="Arial"/>
        </w:rPr>
      </w:pPr>
      <w:r>
        <w:t>1. Mandatory modules: ▀ credits</w:t>
      </w:r>
    </w:p>
    <w:p w14:paraId="11350506" w14:textId="77777777" w:rsidR="00816972" w:rsidRDefault="00816972" w:rsidP="00816972">
      <w:pPr>
        <w:ind w:left="960" w:hanging="480"/>
        <w:rPr>
          <w:rFonts w:cs="Arial"/>
        </w:rPr>
      </w:pPr>
      <w:r>
        <w:t>2. Elective modules: ▀ credits</w:t>
      </w:r>
    </w:p>
    <w:p w14:paraId="3A0E8122" w14:textId="77777777" w:rsidR="00816972" w:rsidRDefault="00816972" w:rsidP="00816972">
      <w:pPr>
        <w:ind w:left="960" w:hanging="480"/>
        <w:rPr>
          <w:rFonts w:cs="Arial"/>
        </w:rPr>
      </w:pPr>
      <w:r>
        <w:t xml:space="preserve">3. Internships pursuant to (5): </w:t>
      </w:r>
      <w:r>
        <w:rPr>
          <w:color w:val="FF0000"/>
        </w:rPr>
        <w:t>[optional]</w:t>
      </w:r>
      <w:r>
        <w:t xml:space="preserve"> ▀ credits</w:t>
      </w:r>
    </w:p>
    <w:p w14:paraId="597CD9E7" w14:textId="77777777" w:rsidR="00816972" w:rsidRDefault="00816972" w:rsidP="00816972">
      <w:pPr>
        <w:ind w:left="960" w:hanging="480"/>
        <w:rPr>
          <w:rFonts w:cs="Arial"/>
        </w:rPr>
      </w:pPr>
      <w:r>
        <w:t>4. Master’s thesis: ▀ credits</w:t>
      </w:r>
    </w:p>
    <w:p w14:paraId="25C069FB" w14:textId="77777777" w:rsidR="00816972" w:rsidRDefault="00816972" w:rsidP="00816972">
      <w:pPr>
        <w:ind w:left="960" w:hanging="480"/>
        <w:rPr>
          <w:rFonts w:cs="Arial"/>
        </w:rPr>
      </w:pPr>
      <w:r>
        <w:t>5. Final examination: 5 credits</w:t>
      </w:r>
    </w:p>
    <w:p w14:paraId="61AE8DB6" w14:textId="0D107FB6" w:rsidR="00816972" w:rsidRDefault="00816972" w:rsidP="00816972">
      <w:pPr>
        <w:pStyle w:val="Textkrper"/>
        <w:spacing w:line="280" w:lineRule="exact"/>
      </w:pPr>
      <w:r>
        <w:t>(3) The mandatory and elective courses and their respective modules are listed in the attachment. T</w:t>
      </w:r>
      <w:r w:rsidR="00E2638F">
        <w:t>he F</w:t>
      </w:r>
      <w:r>
        <w:t xml:space="preserve">aculty and the cooperating institutes are responsible </w:t>
      </w:r>
      <w:r w:rsidR="00A42ADC">
        <w:t>for ensuring that</w:t>
      </w:r>
      <w:r w:rsidR="003D1B56">
        <w:t xml:space="preserve"> </w:t>
      </w:r>
      <w:r>
        <w:t>he required courses for each module</w:t>
      </w:r>
      <w:r w:rsidR="003D1B56">
        <w:t xml:space="preserve"> take place.</w:t>
      </w:r>
    </w:p>
    <w:p w14:paraId="007F5C8F" w14:textId="3F5B81CF" w:rsidR="00816972" w:rsidRDefault="00816972" w:rsidP="00816972">
      <w:pPr>
        <w:pStyle w:val="Textkrper"/>
        <w:spacing w:line="280" w:lineRule="exact"/>
      </w:pPr>
      <w:r>
        <w:t xml:space="preserve">(4) Courses or modules identical to ones already completed during the prerequisite bachelor's program cannot be taken again as part of the </w:t>
      </w:r>
      <w:r w:rsidR="00B57370">
        <w:t>master’s degree program</w:t>
      </w:r>
      <w:r>
        <w:t>. Coursework and examinations completed in these courses and modules will not be recognized. Instead, students are to complete either a different module or a different set of courses within the module. If a required module or course must be replaced, the examination committee shall determine which modules or courses are equivalent. Exceptions will be made for coursework and examinations that were completed in addition to the coursework and examinations required for the bachelor’s degree.</w:t>
      </w:r>
    </w:p>
    <w:p w14:paraId="137D20FE" w14:textId="5D1E1866" w:rsidR="00816972" w:rsidRPr="00BB5827" w:rsidRDefault="00816972" w:rsidP="00BB5827">
      <w:pPr>
        <w:pStyle w:val="Textkrper2"/>
        <w:spacing w:line="280" w:lineRule="exact"/>
        <w:rPr>
          <w:rFonts w:cs="Arial"/>
          <w:color w:val="FF0000"/>
        </w:rPr>
      </w:pPr>
      <w:r>
        <w:rPr>
          <w:color w:val="FF0000"/>
          <w:highlight w:val="lightGray"/>
        </w:rPr>
        <w:t xml:space="preserve">[optional (5) for required internships:] (5) In addition to the </w:t>
      </w:r>
      <w:r w:rsidR="002823D1">
        <w:rPr>
          <w:color w:val="FF0000"/>
          <w:highlight w:val="lightGray"/>
        </w:rPr>
        <w:t>mandatory</w:t>
      </w:r>
      <w:r>
        <w:rPr>
          <w:color w:val="FF0000"/>
          <w:highlight w:val="lightGray"/>
        </w:rPr>
        <w:t xml:space="preserve"> and e</w:t>
      </w:r>
      <w:r w:rsidR="002823D1">
        <w:rPr>
          <w:color w:val="FF0000"/>
          <w:highlight w:val="lightGray"/>
        </w:rPr>
        <w:t>lective courses mentioned in para. 1</w:t>
      </w:r>
      <w:r>
        <w:rPr>
          <w:color w:val="FF0000"/>
          <w:highlight w:val="lightGray"/>
        </w:rPr>
        <w:t>, all students must complete a ▀-week practical internship. Students are responsible for securing their own internships; the Faculty is responsible for helping students make decisions and organize the internship period.</w:t>
      </w:r>
    </w:p>
    <w:p w14:paraId="16181F95" w14:textId="7CBCEA0D" w:rsidR="00816972" w:rsidRDefault="00816972" w:rsidP="00BB5827">
      <w:r>
        <w:rPr>
          <w:color w:val="FF0000"/>
          <w:highlight w:val="lightGray"/>
        </w:rPr>
        <w:t>[optional (6) for required or strongly recommended time abroad (e.g., for Modern Languages):] (6) A ▀-month stay abroad in a country where the student’s foreign language is spoken is strongly recommended. Details are covered in the attachment. See section 9.</w:t>
      </w:r>
    </w:p>
    <w:p w14:paraId="36804596" w14:textId="77777777" w:rsidR="00816972" w:rsidRDefault="00816972" w:rsidP="00816972">
      <w:pPr>
        <w:pStyle w:val="Textkrper"/>
        <w:spacing w:line="280" w:lineRule="exact"/>
      </w:pPr>
    </w:p>
    <w:p w14:paraId="71FA56A4" w14:textId="77777777" w:rsidR="00816972" w:rsidRDefault="00816972" w:rsidP="00816972">
      <w:pPr>
        <w:pStyle w:val="berschrift1"/>
      </w:pPr>
      <w:bookmarkStart w:id="14" w:name="_Toc321319987"/>
      <w:bookmarkStart w:id="15" w:name="_Toc522804405"/>
      <w:r>
        <w:t>Section 7</w:t>
      </w:r>
      <w:r>
        <w:br/>
        <w:t>Examination Committee</w:t>
      </w:r>
      <w:bookmarkEnd w:id="14"/>
      <w:bookmarkEnd w:id="15"/>
    </w:p>
    <w:p w14:paraId="2BDAD8E6" w14:textId="2AD5999B" w:rsidR="00816972" w:rsidRPr="009D00FD" w:rsidRDefault="00816972" w:rsidP="00816972">
      <w:pPr>
        <w:rPr>
          <w:rFonts w:cs="Arial"/>
        </w:rPr>
      </w:pPr>
      <w:r>
        <w:t>(1) T</w:t>
      </w:r>
      <w:r w:rsidR="00843F67">
        <w:t>he faculty c</w:t>
      </w:r>
      <w:r>
        <w:t xml:space="preserve">ouncil uses an examination committee to organize the examinations and undertake specific tasks as laid out in these regulations. </w:t>
      </w:r>
    </w:p>
    <w:p w14:paraId="05BFCB32" w14:textId="2FAB6076" w:rsidR="00816972" w:rsidRDefault="00816972" w:rsidP="00816972">
      <w:pPr>
        <w:rPr>
          <w:rFonts w:cs="Arial"/>
        </w:rPr>
      </w:pPr>
      <w:r>
        <w:t xml:space="preserve">(2) The examination committee is made up of four </w:t>
      </w:r>
      <w:r w:rsidR="00E2638F">
        <w:t>professors</w:t>
      </w:r>
      <w:r>
        <w:t xml:space="preserve">, one student, one academic staff member and one non-academic staff member. The chair and the deputy chair must be </w:t>
      </w:r>
      <w:r w:rsidR="00EB067F">
        <w:t>professors</w:t>
      </w:r>
      <w:r>
        <w:t xml:space="preserve">. The examination committee’s decisions are based on simple majority of members present; in the event of a tie, the vote of the chair will decide the matter. Votes on examination results are to be made according to section 25 </w:t>
      </w:r>
      <w:r w:rsidR="004E444C">
        <w:t>para.</w:t>
      </w:r>
      <w:r>
        <w:t xml:space="preserve"> 5 of the HochSchG. The student member’s term of office is one year, the term of office of the other members is three years. A member </w:t>
      </w:r>
      <w:r>
        <w:lastRenderedPageBreak/>
        <w:t xml:space="preserve">may be re-elected. If a member resigns from their position before his or her term of office has come to an end, a successor will be elected to take over for the rest of the term. </w:t>
      </w:r>
    </w:p>
    <w:p w14:paraId="29E2F643" w14:textId="2EE10A11" w:rsidR="00816972" w:rsidRDefault="00816972" w:rsidP="005A14B8">
      <w:r>
        <w:t>(3) Unless otherwise decided, the examination committee is responsible for all decisions that have to be made on the basis of these examination regulations; the examination committee may assign tasks to the chair of the examination committee. The corresponding examination office</w:t>
      </w:r>
      <w:r w:rsidR="00D56D2B">
        <w:t xml:space="preserve"> (</w:t>
      </w:r>
      <w:r w:rsidR="00D56D2B" w:rsidRPr="00D56D2B">
        <w:rPr>
          <w:i/>
        </w:rPr>
        <w:t>Prüfungsamt</w:t>
      </w:r>
      <w:r w:rsidR="00D56D2B">
        <w:t>)</w:t>
      </w:r>
      <w:r>
        <w:t xml:space="preserve"> or student advising office</w:t>
      </w:r>
      <w:r w:rsidR="00D56D2B">
        <w:t xml:space="preserve"> (</w:t>
      </w:r>
      <w:r w:rsidR="00D56D2B" w:rsidRPr="00D56D2B">
        <w:rPr>
          <w:i/>
        </w:rPr>
        <w:t>Studienbüro</w:t>
      </w:r>
      <w:r w:rsidR="00D56D2B">
        <w:t>)</w:t>
      </w:r>
      <w:r>
        <w:t xml:space="preserve"> shall support the examination committee in the completion of its administrative duties. The examination committee enforces the examination regulations. The examination comm</w:t>
      </w:r>
      <w:r w:rsidR="00E2638F">
        <w:t>ittee periodically informs the F</w:t>
      </w:r>
      <w:r>
        <w:t>aculty about the development of study and examination periods including the period of time to complete the master's thesis as well as module grades and total grades. The report is to be published in an appropriate manner by the university. The examination committee makes suggestions to the respective committee regarding le</w:t>
      </w:r>
      <w:r w:rsidR="00E2638F">
        <w:t>arning and teaching and to the F</w:t>
      </w:r>
      <w:r>
        <w:t>aculty regarding reforms of the degree plan and examination regulations. The head of examination administration has the right to sit in on the meetings of the examination committee in an advisory capacity.</w:t>
      </w:r>
    </w:p>
    <w:p w14:paraId="030E2B8E" w14:textId="348FB9DE" w:rsidR="00816972" w:rsidRDefault="00816972" w:rsidP="00816972">
      <w:pPr>
        <w:pStyle w:val="Textkrper"/>
        <w:spacing w:line="280" w:lineRule="exact"/>
        <w:rPr>
          <w:rFonts w:cs="Arial"/>
          <w:szCs w:val="20"/>
        </w:rPr>
      </w:pPr>
      <w:r>
        <w:t xml:space="preserve">(4) In cooperation with the Faculty or </w:t>
      </w:r>
      <w:r w:rsidR="00D41EA0">
        <w:t>departments</w:t>
      </w:r>
      <w:r>
        <w:t xml:space="preserve"> [optional:</w:t>
      </w:r>
      <w:r>
        <w:rPr>
          <w:szCs w:val="20"/>
          <w:highlight w:val="lightGray"/>
        </w:rPr>
        <w:t xml:space="preserve"> </w:t>
      </w:r>
      <w:r>
        <w:t xml:space="preserve">Faculties or </w:t>
      </w:r>
      <w:r w:rsidR="00D41EA0">
        <w:t>departments</w:t>
      </w:r>
      <w:r>
        <w:t xml:space="preserve">], the examination committee ensures that it is possible to complete coursework and examinations in the </w:t>
      </w:r>
      <w:r w:rsidR="00D41EA0">
        <w:t>periods</w:t>
      </w:r>
      <w:r>
        <w:t xml:space="preserve"> determined in these examination regulations. For this pur</w:t>
      </w:r>
      <w:r w:rsidR="00D41EA0">
        <w:t xml:space="preserve">pose, the candidate is to be </w:t>
      </w:r>
      <w:r>
        <w:t xml:space="preserve">informed in a timely manner about the type and amount of coursework and examinations required in the module as well as about the dates and deadlines. Candidates must be informed in a timely manner about the </w:t>
      </w:r>
      <w:r w:rsidR="003D1B56">
        <w:t>repeat</w:t>
      </w:r>
      <w:r>
        <w:t xml:space="preserve"> dates for all coursework and examinations.</w:t>
      </w:r>
    </w:p>
    <w:p w14:paraId="51A99770" w14:textId="77777777" w:rsidR="00816972" w:rsidRDefault="00816972" w:rsidP="00816972">
      <w:pPr>
        <w:rPr>
          <w:rFonts w:cs="Arial"/>
        </w:rPr>
      </w:pPr>
      <w:r>
        <w:t>(5) The members of the examination committee have the right to be present during all course and module examinations, as well as the final oral examination. They do not have the right to attend meetings where grades are discussed and announced.</w:t>
      </w:r>
    </w:p>
    <w:p w14:paraId="590BF044" w14:textId="7137FACB" w:rsidR="00816972" w:rsidRPr="009F086F" w:rsidRDefault="00816972" w:rsidP="00816972">
      <w:pPr>
        <w:pStyle w:val="Textkrper"/>
        <w:spacing w:line="280" w:lineRule="exact"/>
        <w:rPr>
          <w:rFonts w:cs="Arial"/>
          <w:szCs w:val="20"/>
        </w:rPr>
      </w:pPr>
      <w:r>
        <w:t>(6) The meetings of the examination committee are not public. The members of the examination committee are obliged to maintain confidentiality. If they are not employed in the public service, they shall be ordered to maintain confidentiality by the chair of the examination committee.</w:t>
      </w:r>
    </w:p>
    <w:p w14:paraId="3A0D3F30" w14:textId="27000BD3" w:rsidR="00816972" w:rsidRDefault="00816972" w:rsidP="00816972">
      <w:pPr>
        <w:pStyle w:val="Textkrper"/>
        <w:spacing w:line="280" w:lineRule="exact"/>
        <w:rPr>
          <w:rFonts w:cs="Arial"/>
          <w:szCs w:val="20"/>
        </w:rPr>
      </w:pPr>
      <w:r>
        <w:t xml:space="preserve">(7) Unfavorable decisions by the examination committee shall be communicated to the student immediately in writing, whether on paper or electronically. If the notification concerns failing an examination for the final time and/or losing eligibility to take an examination, it may not be communicated solely electronically. Information on the rights to appeal are to be included in the notification. See section 22. </w:t>
      </w:r>
    </w:p>
    <w:p w14:paraId="293DF027" w14:textId="1E509497" w:rsidR="005A14B8" w:rsidRPr="000017EB" w:rsidRDefault="005A14B8" w:rsidP="005A14B8">
      <w:r>
        <w:t>(8) The examination committee has the right to check scientific papers for plagiarism or cheating and may also make use of electronic means to do so. For this purpose, the examination committee may request a corresponding digital copy of the paper from the author with adequate notice. If this request is not met, the work may be graded “failed”.</w:t>
      </w:r>
    </w:p>
    <w:p w14:paraId="4832C83B" w14:textId="77777777" w:rsidR="00C75F48" w:rsidRDefault="00C75F48" w:rsidP="0073098A"/>
    <w:p w14:paraId="5F3864E3" w14:textId="77777777" w:rsidR="005A14B8" w:rsidRDefault="005A14B8" w:rsidP="005A14B8">
      <w:pPr>
        <w:pStyle w:val="berschrift1"/>
      </w:pPr>
      <w:bookmarkStart w:id="16" w:name="_Toc321319988"/>
      <w:bookmarkStart w:id="17" w:name="_Toc522804406"/>
      <w:r>
        <w:t>Section 8</w:t>
      </w:r>
      <w:r>
        <w:br/>
        <w:t>Examiners, Observers</w:t>
      </w:r>
      <w:bookmarkEnd w:id="16"/>
      <w:bookmarkEnd w:id="17"/>
    </w:p>
    <w:p w14:paraId="1183300F" w14:textId="77777777" w:rsidR="005A14B8" w:rsidRDefault="005A14B8" w:rsidP="005A14B8">
      <w:pPr>
        <w:pStyle w:val="Textkrper"/>
        <w:spacing w:line="280" w:lineRule="exact"/>
        <w:rPr>
          <w:rFonts w:cs="Arial"/>
        </w:rPr>
      </w:pPr>
      <w:r>
        <w:t>(1) The master’s examination including module examinations are carried out by examiners. The examination committee appoints the examiners. The committee may ask the chair to carry out the appointment.</w:t>
      </w:r>
    </w:p>
    <w:p w14:paraId="70D76FE3" w14:textId="1D8973AB" w:rsidR="005A14B8" w:rsidRDefault="005A14B8" w:rsidP="005A14B8">
      <w:pPr>
        <w:pStyle w:val="Textkrper"/>
        <w:spacing w:line="280" w:lineRule="exact"/>
        <w:rPr>
          <w:rFonts w:cs="Arial"/>
          <w:szCs w:val="20"/>
        </w:rPr>
      </w:pPr>
      <w:r>
        <w:t xml:space="preserve">(2) Examiners include professors, </w:t>
      </w:r>
      <w:r w:rsidR="00A513DF">
        <w:t xml:space="preserve">academic </w:t>
      </w:r>
      <w:r>
        <w:t xml:space="preserve">staff members who have a habilitation, academic staff with duties according to section 56 </w:t>
      </w:r>
      <w:r w:rsidR="004E444C">
        <w:t>para.</w:t>
      </w:r>
      <w:r w:rsidR="00D41EA0">
        <w:t xml:space="preserve"> 1 clause 2</w:t>
      </w:r>
      <w:r>
        <w:t xml:space="preserve"> HochSchG, adjunct lecturers according to section 63 and lecturers for special assignments according to section 58 of the HochSchG. The right of professors to be examiners will not be infringed by retirement or by </w:t>
      </w:r>
      <w:r>
        <w:lastRenderedPageBreak/>
        <w:t xml:space="preserve">becoming a professor emeritus. Retired professors, honorary professors, and experienced professionals in their respective fields according to section 25 </w:t>
      </w:r>
      <w:r w:rsidR="004E444C">
        <w:t>para.</w:t>
      </w:r>
      <w:r w:rsidR="00843F67">
        <w:t xml:space="preserve"> 4 clause 2</w:t>
      </w:r>
      <w:r>
        <w:t xml:space="preserve"> HochSchG can be appointed as examiners based on a decision of the examination committee and </w:t>
      </w:r>
      <w:r w:rsidR="00843F67">
        <w:t>recommendations of the faculty c</w:t>
      </w:r>
      <w:r>
        <w:t>ouncil. Only an individual who teaches classes at a higher education institution in t</w:t>
      </w:r>
      <w:r w:rsidR="00D41EA0">
        <w:t xml:space="preserve">he same field as the examination </w:t>
      </w:r>
      <w:r>
        <w:t>or who did so during the past four semesters or who has proof of relevant practical experience in that field can be appointed as examiner.</w:t>
      </w:r>
    </w:p>
    <w:p w14:paraId="13EC3966" w14:textId="08DA410F" w:rsidR="005A14B8" w:rsidRDefault="005A14B8" w:rsidP="005A14B8">
      <w:pPr>
        <w:pStyle w:val="Textkrper"/>
        <w:spacing w:line="280" w:lineRule="exact"/>
        <w:rPr>
          <w:rFonts w:cs="Arial"/>
          <w:i/>
          <w:strike/>
        </w:rPr>
      </w:pPr>
      <w:r>
        <w:t xml:space="preserve">(3) The chair of the examination committee makes sure that the names of the examiners are announced on time, usually at least four weeks prior to the examination date. The candidate for examination may suggest an examiner. No legal right arises from their suggestion. If an examiner no longer works for the university and is still willing to carry out the examination for a module but not the courses for the module, the student may suggest either this examiner for the </w:t>
      </w:r>
      <w:r w:rsidR="003D1B56">
        <w:t>repeat</w:t>
      </w:r>
      <w:r>
        <w:t xml:space="preserve"> examination for the module or the examiner who also offers the courses in addition to the examination for the module. </w:t>
      </w:r>
    </w:p>
    <w:p w14:paraId="6862C11D" w14:textId="77777777" w:rsidR="005A14B8" w:rsidRDefault="005A14B8" w:rsidP="005A14B8">
      <w:pPr>
        <w:pStyle w:val="Textkrper"/>
        <w:spacing w:line="280" w:lineRule="exact"/>
        <w:rPr>
          <w:rFonts w:cs="Arial"/>
        </w:rPr>
      </w:pPr>
      <w:r>
        <w:t>(4) The examiners appoint the observers. Observers must at least have the same qualification as certified by the examination or an equivalent qualification. They note down the minutes in oral and practical examinations and may also have the task of pre-evaluating written examinations. They have the right to remove candidates from the examination should they create disturbances.</w:t>
      </w:r>
    </w:p>
    <w:p w14:paraId="2F97652E" w14:textId="148C5C62" w:rsidR="005A14B8" w:rsidRDefault="005A14B8" w:rsidP="005A14B8">
      <w:pPr>
        <w:rPr>
          <w:rFonts w:cs="Arial"/>
        </w:rPr>
      </w:pPr>
      <w:r>
        <w:t xml:space="preserve">(5) For examiners and observers, section 7 </w:t>
      </w:r>
      <w:r w:rsidR="004E444C">
        <w:t>para.</w:t>
      </w:r>
      <w:r w:rsidR="00D41EA0">
        <w:t xml:space="preserve"> 6 clause 2-3</w:t>
      </w:r>
      <w:r>
        <w:t xml:space="preserve"> applies.</w:t>
      </w:r>
    </w:p>
    <w:p w14:paraId="5E1161E9" w14:textId="00DCF127" w:rsidR="005A14B8" w:rsidRDefault="005A14B8" w:rsidP="005A14B8">
      <w:pPr>
        <w:rPr>
          <w:rFonts w:cs="Arial"/>
          <w:snapToGrid w:val="0"/>
        </w:rPr>
      </w:pPr>
      <w:r>
        <w:rPr>
          <w:snapToGrid w:val="0"/>
        </w:rPr>
        <w:t xml:space="preserve">(6) In programs of study where cooperation agreements exist with foreign higher education institutions, potential examiners of the foreign higher education institution can be appointed as examiners and observers. </w:t>
      </w:r>
      <w:r w:rsidR="00D41EA0">
        <w:rPr>
          <w:snapToGrid w:val="0"/>
        </w:rPr>
        <w:t>Para.</w:t>
      </w:r>
      <w:r>
        <w:rPr>
          <w:snapToGrid w:val="0"/>
        </w:rPr>
        <w:t xml:space="preserve"> 2 and 5 apply in this case.</w:t>
      </w:r>
    </w:p>
    <w:p w14:paraId="5BE61D6E" w14:textId="77777777" w:rsidR="005A14B8" w:rsidRDefault="005A14B8" w:rsidP="0073098A"/>
    <w:p w14:paraId="2603F37B" w14:textId="2C86F342" w:rsidR="00E82922" w:rsidRPr="00E82922" w:rsidRDefault="00E82922" w:rsidP="00E82922">
      <w:pPr>
        <w:pStyle w:val="berschrift1"/>
      </w:pPr>
      <w:bookmarkStart w:id="18" w:name="_Toc321319989"/>
      <w:bookmarkStart w:id="19" w:name="_Toc522804407"/>
      <w:r>
        <w:rPr>
          <w:rStyle w:val="berschrift1Zchn"/>
          <w:b/>
        </w:rPr>
        <w:t>Section 9</w:t>
      </w:r>
      <w:r>
        <w:rPr>
          <w:rStyle w:val="berschrift1Zchn"/>
          <w:b/>
        </w:rPr>
        <w:br/>
        <w:t>Recognition of Coursework and Examinations</w:t>
      </w:r>
      <w:bookmarkEnd w:id="18"/>
      <w:r>
        <w:rPr>
          <w:rStyle w:val="berschrift1Zchn"/>
          <w:b/>
        </w:rPr>
        <w:t xml:space="preserve">, and Qualifications Acquired Outside of </w:t>
      </w:r>
      <w:r>
        <w:t>Higher Education Institutions</w:t>
      </w:r>
      <w:bookmarkEnd w:id="19"/>
    </w:p>
    <w:p w14:paraId="00A08C74" w14:textId="37FE93E6" w:rsidR="00E82922" w:rsidRDefault="00E82922" w:rsidP="00E82922">
      <w:pPr>
        <w:rPr>
          <w:rFonts w:cs="Arial"/>
        </w:rPr>
      </w:pPr>
      <w:r>
        <w:t>The recognition of coursework and examinations, as well as of qualifications acquired outside of higher education institutions is subject to the regulations in the current version of the</w:t>
      </w:r>
      <w:r w:rsidR="0000792A">
        <w:t xml:space="preserve"> Recognition Regulations</w:t>
      </w:r>
      <w:r>
        <w:t xml:space="preserve"> </w:t>
      </w:r>
      <w:r w:rsidR="0000792A">
        <w:t>(</w:t>
      </w:r>
      <w:r w:rsidR="00436E8E">
        <w:rPr>
          <w:i/>
        </w:rPr>
        <w:t>Anerkennungssatzung</w:t>
      </w:r>
      <w:r w:rsidR="0000792A">
        <w:rPr>
          <w:i/>
        </w:rPr>
        <w:t>)</w:t>
      </w:r>
      <w:r>
        <w:rPr>
          <w:i/>
        </w:rPr>
        <w:t xml:space="preserve"> </w:t>
      </w:r>
      <w:r>
        <w:t>of Johannes Gutenberg University</w:t>
      </w:r>
      <w:r>
        <w:rPr>
          <w:i/>
        </w:rPr>
        <w:t>.</w:t>
      </w:r>
      <w:r>
        <w:t xml:space="preserve"> </w:t>
      </w:r>
    </w:p>
    <w:p w14:paraId="2A38FEA8" w14:textId="145C732A" w:rsidR="00E82922" w:rsidRPr="004B7A16" w:rsidRDefault="00E82922" w:rsidP="00E82922">
      <w:pPr>
        <w:rPr>
          <w:rFonts w:cs="Arial"/>
          <w:color w:val="FF0000"/>
        </w:rPr>
      </w:pPr>
      <w:r>
        <w:t xml:space="preserve">[optional] (2) </w:t>
      </w:r>
      <w:r w:rsidR="00D41EA0">
        <w:t>By way of derogation</w:t>
      </w:r>
      <w:r>
        <w:t xml:space="preserve"> from section 2 </w:t>
      </w:r>
      <w:r w:rsidR="004E444C">
        <w:t>para.</w:t>
      </w:r>
      <w:r w:rsidR="00D41EA0">
        <w:t xml:space="preserve"> 7 clause 10</w:t>
      </w:r>
      <w:r>
        <w:t xml:space="preserve"> of the Recognition Regulations</w:t>
      </w:r>
      <w:r w:rsidR="0000792A">
        <w:t xml:space="preserve"> (</w:t>
      </w:r>
      <w:r w:rsidR="00436E8E">
        <w:rPr>
          <w:i/>
        </w:rPr>
        <w:t>Anerkennungssatzung</w:t>
      </w:r>
      <w:r w:rsidR="0000792A">
        <w:t>)</w:t>
      </w:r>
      <w:r>
        <w:t>, students may apply for the recognition of individual coursework and examinations obtained during a se</w:t>
      </w:r>
      <w:r w:rsidR="00D41EA0">
        <w:t>mester abroad without a transfe</w:t>
      </w:r>
      <w:r>
        <w:t>ral of grades.</w:t>
      </w:r>
    </w:p>
    <w:p w14:paraId="678E3591" w14:textId="77777777" w:rsidR="00E82922" w:rsidRPr="007871B2" w:rsidRDefault="00E82922" w:rsidP="00E82922">
      <w:pPr>
        <w:rPr>
          <w:rFonts w:cs="Arial"/>
          <w:color w:val="FF0000"/>
        </w:rPr>
      </w:pPr>
    </w:p>
    <w:p w14:paraId="55A9EC68" w14:textId="4E7CC0BE" w:rsidR="00E82922" w:rsidRDefault="00E82922" w:rsidP="00E82922">
      <w:pPr>
        <w:pStyle w:val="berschrift1"/>
      </w:pPr>
      <w:bookmarkStart w:id="20" w:name="_Toc522804408"/>
      <w:bookmarkStart w:id="21" w:name="_Toc321319991"/>
      <w:r>
        <w:t>Section 10</w:t>
      </w:r>
      <w:r>
        <w:br/>
      </w:r>
      <w:r w:rsidR="004A3597">
        <w:t xml:space="preserve">Application </w:t>
      </w:r>
      <w:r>
        <w:t>and Admission to the Master's Examination</w:t>
      </w:r>
      <w:bookmarkEnd w:id="20"/>
      <w:r>
        <w:t xml:space="preserve"> </w:t>
      </w:r>
      <w:bookmarkEnd w:id="21"/>
    </w:p>
    <w:p w14:paraId="72DF2327" w14:textId="7403B75E" w:rsidR="00E82922" w:rsidRDefault="00E82922" w:rsidP="00E82922">
      <w:pPr>
        <w:rPr>
          <w:rFonts w:cs="Arial"/>
        </w:rPr>
      </w:pPr>
      <w:r>
        <w:t xml:space="preserve">(1) The </w:t>
      </w:r>
      <w:r w:rsidR="004A3597">
        <w:t>application</w:t>
      </w:r>
      <w:r>
        <w:t xml:space="preserve"> for admission to the master’s examination is done by registering for the first module examination or partial module examination within the deadline announced by the examination committee. </w:t>
      </w:r>
      <w:r>
        <w:rPr>
          <w:color w:val="FF0000"/>
        </w:rPr>
        <w:t xml:space="preserve"> </w:t>
      </w:r>
    </w:p>
    <w:p w14:paraId="7554730B" w14:textId="542FCB46" w:rsidR="00E82922" w:rsidRDefault="00E82922" w:rsidP="00E82922">
      <w:pPr>
        <w:pStyle w:val="Textkrper"/>
        <w:spacing w:line="280" w:lineRule="exact"/>
        <w:rPr>
          <w:rFonts w:cs="Arial"/>
          <w:szCs w:val="20"/>
        </w:rPr>
      </w:pPr>
      <w:r>
        <w:t xml:space="preserve">(2) The following documents must be submitted with the </w:t>
      </w:r>
      <w:r w:rsidR="004A3597">
        <w:t xml:space="preserve">application </w:t>
      </w:r>
      <w:r>
        <w:t>for</w:t>
      </w:r>
      <w:r w:rsidR="004A3597">
        <w:t xml:space="preserve"> admission to</w:t>
      </w:r>
      <w:r>
        <w:t xml:space="preserve"> the master’s examination, if they were not already submitted with the application for admission to the </w:t>
      </w:r>
      <w:r w:rsidR="00B57370">
        <w:t>degree program</w:t>
      </w:r>
      <w:r>
        <w:t>:</w:t>
      </w:r>
    </w:p>
    <w:p w14:paraId="43CE7225" w14:textId="40F265F6" w:rsidR="00E82922" w:rsidRDefault="00E82922" w:rsidP="00E82922">
      <w:pPr>
        <w:numPr>
          <w:ilvl w:val="0"/>
          <w:numId w:val="3"/>
        </w:numPr>
        <w:tabs>
          <w:tab w:val="clear" w:pos="1093"/>
          <w:tab w:val="num" w:pos="0"/>
          <w:tab w:val="num" w:pos="284"/>
        </w:tabs>
        <w:ind w:left="284" w:hanging="284"/>
        <w:rPr>
          <w:rFonts w:cs="Arial"/>
        </w:rPr>
      </w:pPr>
      <w:r>
        <w:lastRenderedPageBreak/>
        <w:t xml:space="preserve">a declaration as to whether or not the candidate has already failed a master’s examination in the </w:t>
      </w:r>
      <w:r w:rsidR="00B57370">
        <w:t>master’s degree program</w:t>
      </w:r>
      <w:r>
        <w:t xml:space="preserve"> ▀ at a German higher education institution with no option to </w:t>
      </w:r>
      <w:r w:rsidR="003D1B56">
        <w:t>repeat</w:t>
      </w:r>
      <w:r>
        <w:t xml:space="preserve"> or if he or she is currently involved in an examination process at another higher education institution in Germany or abroad</w:t>
      </w:r>
    </w:p>
    <w:p w14:paraId="61FDC6BD" w14:textId="2D2A742A" w:rsidR="00E82922" w:rsidRDefault="00E82922" w:rsidP="00E82922">
      <w:pPr>
        <w:numPr>
          <w:ilvl w:val="0"/>
          <w:numId w:val="3"/>
        </w:numPr>
        <w:tabs>
          <w:tab w:val="clear" w:pos="1093"/>
          <w:tab w:val="num" w:pos="0"/>
          <w:tab w:val="num" w:pos="284"/>
        </w:tabs>
        <w:ind w:left="284" w:hanging="284"/>
        <w:rPr>
          <w:rFonts w:cs="Arial"/>
        </w:rPr>
      </w:pPr>
      <w:r>
        <w:t xml:space="preserve">a declaration as to whether or not and, if applicable, how often the candidate has failed examinations and coursework relevant to examinations in the </w:t>
      </w:r>
      <w:r w:rsidR="00B57370">
        <w:t>master’s degree program</w:t>
      </w:r>
      <w:r>
        <w:t xml:space="preserve"> ▀ or in the same subjects or modules of another </w:t>
      </w:r>
      <w:r w:rsidR="00B57370">
        <w:t>degree program</w:t>
      </w:r>
      <w:r>
        <w:t xml:space="preserve"> at a higher education institution in Germany or abroad</w:t>
      </w:r>
      <w:r w:rsidR="00436E8E">
        <w:t>.</w:t>
      </w:r>
    </w:p>
    <w:p w14:paraId="5FBE1D92" w14:textId="22F4D053" w:rsidR="00E82922" w:rsidRDefault="00E82922" w:rsidP="00E82922">
      <w:pPr>
        <w:pStyle w:val="Textkrper"/>
        <w:spacing w:line="280" w:lineRule="exact"/>
        <w:rPr>
          <w:rFonts w:cs="Arial"/>
          <w:szCs w:val="20"/>
        </w:rPr>
      </w:pPr>
      <w:r>
        <w:t xml:space="preserve">In the declaration according to no. 2, the candidate, if also enrolled in another </w:t>
      </w:r>
      <w:r w:rsidR="00B57370">
        <w:t>degree program</w:t>
      </w:r>
      <w:r>
        <w:t xml:space="preserve">, must affirm that he or she will immediately inform the examination committee in writing on the start and end of the examination process as well as the failing of examinations and coursework in the other </w:t>
      </w:r>
      <w:r w:rsidR="00B57370">
        <w:t>degree program</w:t>
      </w:r>
      <w:r>
        <w:t>. The examination committee has the right to request documentation from the other higher education institution affirming that the student has not lost eligibility to take exams in an identical or similar program (</w:t>
      </w:r>
      <w:r>
        <w:rPr>
          <w:i/>
        </w:rPr>
        <w:t>Unbedenklichkeitsbescheinigung</w:t>
      </w:r>
      <w:r>
        <w:t xml:space="preserve">). </w:t>
      </w:r>
    </w:p>
    <w:p w14:paraId="1B814CDF" w14:textId="77777777" w:rsidR="00E82922" w:rsidRDefault="00E82922" w:rsidP="00E82922">
      <w:pPr>
        <w:rPr>
          <w:rFonts w:cs="Arial"/>
        </w:rPr>
      </w:pPr>
      <w:r>
        <w:t>(3) Students are not eligible to take the master's examination, if</w:t>
      </w:r>
    </w:p>
    <w:p w14:paraId="4A6ED0E4" w14:textId="77777777" w:rsidR="00E82922" w:rsidRDefault="00E82922" w:rsidP="00E82922">
      <w:pPr>
        <w:numPr>
          <w:ilvl w:val="0"/>
          <w:numId w:val="4"/>
        </w:numPr>
        <w:tabs>
          <w:tab w:val="left" w:pos="720"/>
        </w:tabs>
        <w:rPr>
          <w:rFonts w:cs="Arial"/>
        </w:rPr>
      </w:pPr>
      <w:r>
        <w:t xml:space="preserve">the application for admission to the master’s examination is not submitted prior to the deadline, </w:t>
      </w:r>
    </w:p>
    <w:p w14:paraId="1850986B" w14:textId="5E679347" w:rsidR="00E82922" w:rsidRDefault="00E82922" w:rsidP="00E82922">
      <w:pPr>
        <w:numPr>
          <w:ilvl w:val="0"/>
          <w:numId w:val="4"/>
        </w:numPr>
        <w:tabs>
          <w:tab w:val="left" w:pos="720"/>
        </w:tabs>
        <w:rPr>
          <w:rFonts w:cs="Arial"/>
        </w:rPr>
      </w:pPr>
      <w:r>
        <w:t xml:space="preserve">the documents according to </w:t>
      </w:r>
      <w:r w:rsidR="004E444C">
        <w:t>para.</w:t>
      </w:r>
      <w:r>
        <w:t xml:space="preserve"> 2 are incomplete, </w:t>
      </w:r>
    </w:p>
    <w:p w14:paraId="66F3EF53" w14:textId="24E8C5EA" w:rsidR="00E82922" w:rsidRPr="00E82922" w:rsidRDefault="00E82922" w:rsidP="00E82922">
      <w:pPr>
        <w:numPr>
          <w:ilvl w:val="0"/>
          <w:numId w:val="4"/>
        </w:numPr>
        <w:tabs>
          <w:tab w:val="left" w:pos="720"/>
        </w:tabs>
        <w:rPr>
          <w:rFonts w:cs="Arial"/>
        </w:rPr>
      </w:pPr>
      <w:r>
        <w:t xml:space="preserve">the candidate is not enrolled in the </w:t>
      </w:r>
      <w:r w:rsidR="00B57370">
        <w:t>master’s degree program</w:t>
      </w:r>
      <w:r>
        <w:t xml:space="preserve"> </w:t>
      </w:r>
      <w:r>
        <w:rPr>
          <w:color w:val="FF0000"/>
        </w:rPr>
        <w:t xml:space="preserve">▀ </w:t>
      </w:r>
      <w:r>
        <w:t xml:space="preserve">at Johannes Gutenberg University Mainz, </w:t>
      </w:r>
    </w:p>
    <w:p w14:paraId="373134AB" w14:textId="10FD599C" w:rsidR="00E82922" w:rsidRDefault="00E82922" w:rsidP="00E82922">
      <w:pPr>
        <w:numPr>
          <w:ilvl w:val="0"/>
          <w:numId w:val="4"/>
        </w:numPr>
        <w:tabs>
          <w:tab w:val="left" w:pos="720"/>
        </w:tabs>
        <w:rPr>
          <w:rFonts w:cs="Arial"/>
        </w:rPr>
      </w:pPr>
      <w:r>
        <w:t xml:space="preserve">the candidate has failed the master's examination in the same </w:t>
      </w:r>
      <w:r w:rsidR="00B57370">
        <w:t>degree program</w:t>
      </w:r>
      <w:r>
        <w:t xml:space="preserve"> with no option to re-sit at a higher education institution in Germany, or</w:t>
      </w:r>
    </w:p>
    <w:p w14:paraId="75BE6513" w14:textId="6263609B" w:rsidR="00E82922" w:rsidRDefault="00E82922" w:rsidP="00E82922">
      <w:pPr>
        <w:numPr>
          <w:ilvl w:val="0"/>
          <w:numId w:val="4"/>
        </w:numPr>
        <w:rPr>
          <w:rFonts w:cs="Arial"/>
        </w:rPr>
      </w:pPr>
      <w:r>
        <w:t xml:space="preserve">if, due to unsuccessful attempts in the past, it is impossible according to section 18 </w:t>
      </w:r>
      <w:r w:rsidR="004E444C">
        <w:t>para.</w:t>
      </w:r>
      <w:r>
        <w:t xml:space="preserve"> 4 for the candidate to </w:t>
      </w:r>
      <w:r w:rsidR="003D1B56">
        <w:t>repeat</w:t>
      </w:r>
      <w:r>
        <w:t xml:space="preserve"> examinations and complete coursework necessary for completing the master’s examination. </w:t>
      </w:r>
    </w:p>
    <w:p w14:paraId="24388BC1" w14:textId="77777777" w:rsidR="00E82922" w:rsidRDefault="00E82922" w:rsidP="00E82922">
      <w:pPr>
        <w:rPr>
          <w:rFonts w:cs="Arial"/>
        </w:rPr>
      </w:pPr>
      <w:r>
        <w:t>If the candidate is denied entrance to the exam based on no. 4 or 5, his or her enrollment will be rescinded.</w:t>
      </w:r>
    </w:p>
    <w:p w14:paraId="28563CB6" w14:textId="23287DAC" w:rsidR="00E82922" w:rsidRDefault="00E82922" w:rsidP="00E82922">
      <w:pPr>
        <w:pStyle w:val="Textkrper"/>
        <w:spacing w:line="280" w:lineRule="exact"/>
        <w:rPr>
          <w:rFonts w:cs="Arial"/>
          <w:szCs w:val="20"/>
        </w:rPr>
      </w:pPr>
      <w:r>
        <w:t xml:space="preserve">(4) If the candidate is denied </w:t>
      </w:r>
      <w:r w:rsidR="004A3597">
        <w:t>admission</w:t>
      </w:r>
      <w:r>
        <w:t xml:space="preserve"> to the master’s exam, he or she shall be informed of the reason in writing (this includes electronic messages). The official notification will include information on rights to appeal.</w:t>
      </w:r>
    </w:p>
    <w:p w14:paraId="0F63E48B" w14:textId="77777777" w:rsidR="00E82922" w:rsidRDefault="00E82922" w:rsidP="00E82922">
      <w:pPr>
        <w:rPr>
          <w:rFonts w:cs="Arial"/>
        </w:rPr>
      </w:pPr>
    </w:p>
    <w:p w14:paraId="0643547C" w14:textId="77777777" w:rsidR="00E82922" w:rsidRDefault="00E82922" w:rsidP="00E82922">
      <w:pPr>
        <w:pStyle w:val="berschrift1"/>
      </w:pPr>
      <w:bookmarkStart w:id="22" w:name="_Toc321319992"/>
      <w:bookmarkStart w:id="23" w:name="_Toc522804409"/>
      <w:r>
        <w:t>Section 11</w:t>
      </w:r>
      <w:r>
        <w:br/>
        <w:t>Practical Module Examinations</w:t>
      </w:r>
      <w:bookmarkEnd w:id="22"/>
      <w:bookmarkEnd w:id="23"/>
    </w:p>
    <w:p w14:paraId="600CBE0F" w14:textId="6369E56E" w:rsidR="00E82922" w:rsidRDefault="00E82922" w:rsidP="00E82922">
      <w:pPr>
        <w:pStyle w:val="Textkrper"/>
        <w:spacing w:line="280" w:lineRule="exact"/>
        <w:rPr>
          <w:rFonts w:cs="Arial"/>
          <w:szCs w:val="20"/>
        </w:rPr>
      </w:pPr>
      <w:r>
        <w:t>(1) The module examinations are taken during the course; they complete the respective module. Module examinations serve to prove that the candidate understands the underlying interdependencies of the content and methods of the module and that he or she knows how to apply any new</w:t>
      </w:r>
      <w:r w:rsidR="004A3597">
        <w:t>ly acquired</w:t>
      </w:r>
      <w:r>
        <w:t xml:space="preserve"> skills and qualifications. The subject of the module examinations is the content of the courses of the respective module. An exemplary selection of possible examination topics is permitted.  </w:t>
      </w:r>
    </w:p>
    <w:p w14:paraId="63E43B4F" w14:textId="197DF739" w:rsidR="00E82922" w:rsidRPr="00D25D35" w:rsidRDefault="00E82922" w:rsidP="00E82922">
      <w:pPr>
        <w:pStyle w:val="Textkrper"/>
        <w:spacing w:line="280" w:lineRule="exact"/>
        <w:rPr>
          <w:rFonts w:cs="Arial"/>
          <w:color w:val="FF0000"/>
          <w:u w:val="single"/>
        </w:rPr>
      </w:pPr>
      <w:r>
        <w:t xml:space="preserve">(2) A module is generally completed by means of an examination. If coursework has to be completed in a module according to the attachment, the successful completion of this coursework is required to be admitted to the module examination. An admission that is subject to a condition according to </w:t>
      </w:r>
      <w:r w:rsidR="004E444C">
        <w:t>para.</w:t>
      </w:r>
      <w:r>
        <w:t xml:space="preserve"> 5 remains unaffected. The attachment may define partial </w:t>
      </w:r>
      <w:r>
        <w:lastRenderedPageBreak/>
        <w:t xml:space="preserve">module examinations, which are only allowed in individual justified cases. For partial module examinations, the regulations set in </w:t>
      </w:r>
      <w:r w:rsidR="00A56E53">
        <w:t>para.</w:t>
      </w:r>
      <w:r>
        <w:t xml:space="preserve"> 3 to 5 and sections 12 to 14 apply. The grading of examinations and coursework and the calculation of the module grade of the modules defined in the attachment </w:t>
      </w:r>
      <w:r>
        <w:rPr>
          <w:color w:val="FF0000"/>
        </w:rPr>
        <w:t>[optional: with the exception of ▀]</w:t>
      </w:r>
      <w:r>
        <w:t xml:space="preserve"> are to be carried out according to section 17. Modules that </w:t>
      </w:r>
      <w:r w:rsidR="00166C4C">
        <w:t>are completed with</w:t>
      </w:r>
      <w:r>
        <w:t xml:space="preserve"> </w:t>
      </w:r>
      <w:r w:rsidR="00166C4C">
        <w:t>un</w:t>
      </w:r>
      <w:r>
        <w:t>graded</w:t>
      </w:r>
      <w:r w:rsidR="00252180">
        <w:t xml:space="preserve"> assessments</w:t>
      </w:r>
      <w:r>
        <w:t xml:space="preserve"> are marked as such in the attachment.</w:t>
      </w:r>
    </w:p>
    <w:p w14:paraId="45C43B30" w14:textId="76111B4F" w:rsidR="00E82922" w:rsidRDefault="00E82922" w:rsidP="00E82922">
      <w:pPr>
        <w:rPr>
          <w:rFonts w:cs="Arial"/>
        </w:rPr>
      </w:pPr>
      <w:r>
        <w:t xml:space="preserve">(3) Module examinations and partial module examinations may take place in oral, written, or practical form according to sections 12 to 14. Examination types different from the ones stated in sections 12 to 14 are </w:t>
      </w:r>
      <w:r w:rsidR="00166C4C">
        <w:t>permitted</w:t>
      </w:r>
      <w:r w:rsidR="00886C7A">
        <w:t xml:space="preserve"> </w:t>
      </w:r>
      <w:r>
        <w:t>according to the attachment; the regulations specified in sections 12 to 14 apply. The type and duration of module examinations and partial module examinations in the individual modules are listed in the attachment. If the attachment lists several types of examination, the head of the examin</w:t>
      </w:r>
      <w:r w:rsidR="00A56E53">
        <w:t>ation committee will announce</w:t>
      </w:r>
      <w:r>
        <w:t xml:space="preserve"> the type and duration of the assessment by the start of classes at the latest.</w:t>
      </w:r>
    </w:p>
    <w:p w14:paraId="141F7316" w14:textId="5129D285" w:rsidR="00E82922" w:rsidRDefault="00E82922" w:rsidP="00E82922">
      <w:pPr>
        <w:rPr>
          <w:rFonts w:cs="Arial"/>
        </w:rPr>
      </w:pPr>
      <w:r>
        <w:t xml:space="preserve">(4) To take module examinations, a binding registration with the chair of the examination committee is required before the deadline. As a rule, students must register for module examinations in the semester in which they completed their last coursework for the respective module. Section 10 </w:t>
      </w:r>
      <w:r w:rsidR="004E444C">
        <w:t>para.</w:t>
      </w:r>
      <w:r>
        <w:t xml:space="preserve"> 3 applies. In agreement with the examiners, the chair of the examination committee sets the respective examination and registration dates according to section 8. Examination and registration dates are announced at the beginning of the semester. After the registration period has ended, withdrawal is only possible in exceptional and justified cases; in particular</w:t>
      </w:r>
      <w:r w:rsidR="00A56E53">
        <w:t>,</w:t>
      </w:r>
      <w:r>
        <w:t xml:space="preserve"> these cases include cases of proven illness, subject change</w:t>
      </w:r>
      <w:r w:rsidR="00A56E53">
        <w:t>s, exmatriculation or a transfe</w:t>
      </w:r>
      <w:r>
        <w:t xml:space="preserve">ral between universities (proof required). </w:t>
      </w:r>
      <w:r w:rsidR="004E444C">
        <w:t>Clause</w:t>
      </w:r>
      <w:r>
        <w:t xml:space="preserve"> 1 </w:t>
      </w:r>
      <w:r w:rsidR="004602E4">
        <w:t xml:space="preserve">also </w:t>
      </w:r>
      <w:r>
        <w:t>applies to coursework.</w:t>
      </w:r>
    </w:p>
    <w:p w14:paraId="158ED3E2" w14:textId="1A973DAF" w:rsidR="00E82922" w:rsidRDefault="00E82922" w:rsidP="00E82922">
      <w:pPr>
        <w:rPr>
          <w:rFonts w:cs="Arial"/>
        </w:rPr>
      </w:pPr>
      <w:r>
        <w:t xml:space="preserve">(5) Generally, module examinations may only be taken once the coursework required for the module according to the attachment (section 5 </w:t>
      </w:r>
      <w:r w:rsidR="004E444C">
        <w:t>para.</w:t>
      </w:r>
      <w:r>
        <w:t xml:space="preserve"> 4) has been completed. </w:t>
      </w:r>
      <w:r>
        <w:rPr>
          <w:color w:val="000000"/>
        </w:rPr>
        <w:t xml:space="preserve">If admission to a module examination depends on coursework being completed and this coursework has so far only been partially completed, admission to the module examination is possible but subject to specific conditions. The module examination can only be passed if all coursework and the module examination are passed. </w:t>
      </w:r>
      <w:r>
        <w:t>The examination committee decides about exceptions.</w:t>
      </w:r>
    </w:p>
    <w:p w14:paraId="2363441E" w14:textId="1CB48DFC" w:rsidR="00E82922" w:rsidRDefault="00E82922" w:rsidP="00E82922">
      <w:pPr>
        <w:rPr>
          <w:rFonts w:cs="Arial"/>
        </w:rPr>
      </w:pPr>
      <w:r>
        <w:t xml:space="preserve">(6) If several modules are completed with a single examination, </w:t>
      </w:r>
      <w:r w:rsidR="004E444C">
        <w:t>para.</w:t>
      </w:r>
      <w:r w:rsidR="00201369">
        <w:t xml:space="preserve"> 1 to 5 apply.</w:t>
      </w:r>
    </w:p>
    <w:p w14:paraId="32390386" w14:textId="77777777" w:rsidR="005A14B8" w:rsidRDefault="005A14B8" w:rsidP="0073098A"/>
    <w:p w14:paraId="5048F03D" w14:textId="2CB8CB88" w:rsidR="000F3661" w:rsidRDefault="00D04E99" w:rsidP="000F3661">
      <w:pPr>
        <w:pStyle w:val="berschrift1"/>
      </w:pPr>
      <w:bookmarkStart w:id="24" w:name="_Toc157408902"/>
      <w:bookmarkStart w:id="25" w:name="_Toc321319993"/>
      <w:bookmarkStart w:id="26" w:name="_Toc522804410"/>
      <w:r>
        <w:t>Section 12</w:t>
      </w:r>
      <w:r>
        <w:br/>
        <w:t>Oral Module Examinations</w:t>
      </w:r>
      <w:bookmarkEnd w:id="24"/>
      <w:bookmarkEnd w:id="25"/>
      <w:bookmarkEnd w:id="26"/>
    </w:p>
    <w:p w14:paraId="193535B8" w14:textId="7AAAE28B" w:rsidR="000F3661" w:rsidRDefault="000F3661" w:rsidP="000F3661">
      <w:pPr>
        <w:rPr>
          <w:rFonts w:cs="Arial"/>
        </w:rPr>
      </w:pPr>
      <w:r>
        <w:t xml:space="preserve">(1) Oral examinations are held in front of at least two examiners, or one examiner in the presence of an observer familiar with the subject field according to section 8 </w:t>
      </w:r>
      <w:r w:rsidR="004E444C">
        <w:t>para.</w:t>
      </w:r>
      <w:r>
        <w:t xml:space="preserve"> 4. Presentations and oral examinations similar to presentations are usually only conducted by one examiner. Section 13 </w:t>
      </w:r>
      <w:r w:rsidR="004E444C">
        <w:t>para.</w:t>
      </w:r>
      <w:r>
        <w:t xml:space="preserve"> 4 </w:t>
      </w:r>
      <w:r w:rsidR="004E444C">
        <w:t>clause</w:t>
      </w:r>
      <w:r>
        <w:t xml:space="preserve"> 2 applies.</w:t>
      </w:r>
    </w:p>
    <w:p w14:paraId="295A9A5A" w14:textId="27D10D63" w:rsidR="000F3661" w:rsidRDefault="000F3661" w:rsidP="000F3661">
      <w:pPr>
        <w:rPr>
          <w:rFonts w:cs="Arial"/>
        </w:rPr>
      </w:pPr>
      <w:r>
        <w:t xml:space="preserve">(2) An oral examination can be done either alone or in a group (with a maximum of four candidates) and, according to the details specified in the attachment, will last at least 15 minutes and no longer than 30 minutes per candidate. In exceptional and justified cases, the attachment may specify different times. If images or mathematical descriptions are needed in order to solve examination questions, they will be included in the oral examination. Before determining the grade, the examiner will listen to what the other participating examiners and observers have to say. If multiple examiners are present, the examiners should agree on a single grade. If the examiners cannot reach a consensus, the </w:t>
      </w:r>
      <w:r w:rsidR="00A33735">
        <w:t>mathematical mean</w:t>
      </w:r>
      <w:r>
        <w:t xml:space="preserve"> of their individual grades will be recorded. Section 17 </w:t>
      </w:r>
      <w:r w:rsidR="004E444C">
        <w:t>para.</w:t>
      </w:r>
      <w:r>
        <w:t xml:space="preserve"> 3 applies. The candidate </w:t>
      </w:r>
      <w:r w:rsidR="00886C7A">
        <w:t xml:space="preserve">is </w:t>
      </w:r>
      <w:r>
        <w:t xml:space="preserve">informed of </w:t>
      </w:r>
      <w:r>
        <w:lastRenderedPageBreak/>
        <w:t>their result immediately after the oral examination. If they fail, the candidate will be informed of the reasons.</w:t>
      </w:r>
    </w:p>
    <w:p w14:paraId="13E0459D" w14:textId="7A64C0BE" w:rsidR="000F3661" w:rsidRDefault="000F3661" w:rsidP="000F3661">
      <w:pPr>
        <w:rPr>
          <w:rFonts w:cs="Arial"/>
        </w:rPr>
      </w:pPr>
      <w:r>
        <w:t xml:space="preserve">(3) Minutes are to be taken about the course of the oral examination. The minutes must include the names of the examiners, the observers, the person who produced the minutes and the candidate. They must also include the start and end times of the oral examination, the essential content of the oral examination, the candidate's responses and the grades. The minutes are not to be produced electronically. The minutes are to be handed into the responsible </w:t>
      </w:r>
      <w:r w:rsidR="00886C7A" w:rsidRPr="00886C7A">
        <w:t xml:space="preserve">examination office </w:t>
      </w:r>
      <w:commentRangeStart w:id="27"/>
      <w:commentRangeEnd w:id="27"/>
      <w:r>
        <w:t>immediately after the examination.</w:t>
      </w:r>
    </w:p>
    <w:p w14:paraId="1DDB667D" w14:textId="669A423A" w:rsidR="000F3661" w:rsidRDefault="000F3661" w:rsidP="000F3661">
      <w:r>
        <w:t>(4) Ot</w:t>
      </w:r>
      <w:r w:rsidR="00E2638F">
        <w:t>her students of the respective F</w:t>
      </w:r>
      <w:r>
        <w:t>aculty may be present for oral examinations, provided that none of the candidates objects when registering for the exam. The examiner or examiners will then decide about these requests, which have to be submitted to the examination committee three weeks before the oral examination. The decision shall be based on the number of available audience spaces. Candidates who share the same examination date are not allowed to watch. Should the proper course of the examination be jeopardized, students may be excluded during the examination</w:t>
      </w:r>
      <w:r w:rsidR="00201369">
        <w:t>.</w:t>
      </w:r>
      <w:r>
        <w:t xml:space="preserve"> The audience is not </w:t>
      </w:r>
      <w:r w:rsidR="00166C4C">
        <w:t xml:space="preserve">allowed </w:t>
      </w:r>
      <w:commentRangeStart w:id="28"/>
      <w:commentRangeEnd w:id="28"/>
      <w:r>
        <w:t>to attend the consultation of the examiners or the announcement of the results.</w:t>
      </w:r>
    </w:p>
    <w:p w14:paraId="04F783B5" w14:textId="2427442C" w:rsidR="000F3661" w:rsidRPr="00FD2200" w:rsidRDefault="000F3661" w:rsidP="000F3661">
      <w:pPr>
        <w:autoSpaceDE w:val="0"/>
        <w:autoSpaceDN w:val="0"/>
        <w:adjustRightInd w:val="0"/>
        <w:spacing w:line="240" w:lineRule="auto"/>
      </w:pPr>
      <w:r>
        <w:t xml:space="preserve">(5) Upon request of the candidate, the </w:t>
      </w:r>
      <w:r w:rsidR="00E2638F">
        <w:t>F</w:t>
      </w:r>
      <w:r>
        <w:t>aculty’s equal opportunities officer may be present during oral examinations.</w:t>
      </w:r>
    </w:p>
    <w:p w14:paraId="7181F11F" w14:textId="4C03E7BF" w:rsidR="0007162D" w:rsidRPr="0007162D" w:rsidRDefault="000F3661" w:rsidP="0007162D">
      <w:pPr>
        <w:pStyle w:val="Textkrper2"/>
        <w:spacing w:line="280" w:lineRule="exact"/>
      </w:pPr>
      <w:r>
        <w:rPr>
          <w:highlight w:val="lightGray"/>
        </w:rPr>
        <w:t xml:space="preserve">[optional </w:t>
      </w:r>
      <w:r w:rsidR="004E444C">
        <w:rPr>
          <w:highlight w:val="lightGray"/>
        </w:rPr>
        <w:t>para.</w:t>
      </w:r>
      <w:r>
        <w:rPr>
          <w:highlight w:val="lightGray"/>
        </w:rPr>
        <w:t xml:space="preserve"> 6 for Modern Languages: </w:t>
      </w:r>
      <w:r>
        <w:rPr>
          <w:color w:val="FF0000"/>
          <w:highlight w:val="lightGray"/>
        </w:rPr>
        <w:t xml:space="preserve">(6) Oral examinations may, according to the specific regulations in the attachment, be completed in ▀ . </w:t>
      </w:r>
      <w:r>
        <w:rPr>
          <w:highlight w:val="lightGray"/>
        </w:rPr>
        <w:t>If the candidate’s language ability is not sufficient, the exam is considered failed; the exam cannot be substituted for another format.]</w:t>
      </w:r>
    </w:p>
    <w:p w14:paraId="72AD2799" w14:textId="08B26E06" w:rsidR="000F3661" w:rsidRPr="00F828DA" w:rsidRDefault="00511137" w:rsidP="0007162D">
      <w:r>
        <w:rPr>
          <w:highlight w:val="lightGray"/>
        </w:rPr>
        <w:t xml:space="preserve">[optional </w:t>
      </w:r>
      <w:r w:rsidR="004E444C">
        <w:rPr>
          <w:highlight w:val="lightGray"/>
        </w:rPr>
        <w:t>para.</w:t>
      </w:r>
      <w:r>
        <w:rPr>
          <w:highlight w:val="lightGray"/>
        </w:rPr>
        <w:t xml:space="preserve"> 6 or 7: (6/7) Upon the request of the candidate and the approval of the examiner or examiners, individual oral examinations may be held in a foreign language. More details are provided in the attachment.]</w:t>
      </w:r>
    </w:p>
    <w:p w14:paraId="77D50FA4" w14:textId="77777777" w:rsidR="000F3661" w:rsidRDefault="000F3661" w:rsidP="0073098A"/>
    <w:p w14:paraId="43C5F88B" w14:textId="77777777" w:rsidR="000F3661" w:rsidRDefault="000F3661" w:rsidP="000F3661">
      <w:pPr>
        <w:pStyle w:val="berschrift1"/>
      </w:pPr>
      <w:bookmarkStart w:id="29" w:name="_Toc321319994"/>
      <w:bookmarkStart w:id="30" w:name="_Toc522804411"/>
      <w:r>
        <w:t>Section 13</w:t>
      </w:r>
      <w:r>
        <w:br/>
        <w:t>Written Module Examinations</w:t>
      </w:r>
      <w:bookmarkEnd w:id="29"/>
      <w:r>
        <w:t>, Portfolio Examinations</w:t>
      </w:r>
      <w:bookmarkEnd w:id="30"/>
    </w:p>
    <w:p w14:paraId="1CDCD0FA" w14:textId="16F81C3D" w:rsidR="000F3661" w:rsidRDefault="000F3661" w:rsidP="000F3661">
      <w:pPr>
        <w:pStyle w:val="Textkrper"/>
        <w:spacing w:line="280" w:lineRule="exact"/>
        <w:rPr>
          <w:rFonts w:cs="Arial"/>
        </w:rPr>
      </w:pPr>
      <w:r>
        <w:t xml:space="preserve">(1) In a written examination in the form of a supervised sit-down examination, the candidate tackles one or several questions posed by the examiner applying the common methods of the field in a limited period of time and usually with limited authorized resources. The examination lasts at least one hour and no longer than two hours and is specified in the attachment. In exceptional and justified cases, the attachment may specify different times. Sit-down examinations can be supported by other forms of media, provided the requirements in </w:t>
      </w:r>
      <w:r w:rsidR="004E444C">
        <w:t>para.</w:t>
      </w:r>
      <w:r>
        <w:t xml:space="preserve"> 6 are met.</w:t>
      </w:r>
    </w:p>
    <w:p w14:paraId="7322B106" w14:textId="271B76E1" w:rsidR="00D55AB2" w:rsidRDefault="000F3661" w:rsidP="00D55AB2">
      <w:pPr>
        <w:rPr>
          <w:rFonts w:cs="Arial"/>
        </w:rPr>
      </w:pPr>
      <w:r>
        <w:t xml:space="preserve">(2) In a written examination in the form of a term paper, the candidate tackles a topic set by the examiner applying the common methods of the field in a limited period of time. The topic should be chosen in such a way that the student workload (as defined in section 5 </w:t>
      </w:r>
      <w:r w:rsidR="004E444C">
        <w:t>para.</w:t>
      </w:r>
      <w:r>
        <w:t xml:space="preserve"> 2 </w:t>
      </w:r>
      <w:r w:rsidR="004E444C">
        <w:t>clause</w:t>
      </w:r>
      <w:r>
        <w:t xml:space="preserve">1 corresponds to a total of four weeks (full-time); exceptions may be specified in the attachment. The examination committee may set deadlines for submitting term papers. A term paper may be done as groupwork with the written consent of the examiner; sections 12 </w:t>
      </w:r>
      <w:r w:rsidR="00F80BF6">
        <w:t>para.</w:t>
      </w:r>
      <w:r>
        <w:t xml:space="preserve"> 6 and 7, section 15 </w:t>
      </w:r>
      <w:r w:rsidR="004E444C">
        <w:t>para.</w:t>
      </w:r>
      <w:r>
        <w:t xml:space="preserve"> 8 </w:t>
      </w:r>
      <w:r w:rsidR="004E444C">
        <w:t>clause</w:t>
      </w:r>
      <w:r>
        <w:t xml:space="preserve"> 2, and section 19 </w:t>
      </w:r>
      <w:r w:rsidR="004E444C">
        <w:t>para.</w:t>
      </w:r>
      <w:r>
        <w:t xml:space="preserve"> 5 apply. </w:t>
      </w:r>
    </w:p>
    <w:p w14:paraId="50D280DF" w14:textId="1035088B" w:rsidR="000F3661" w:rsidRDefault="000F3661" w:rsidP="00D55AB2">
      <w:pPr>
        <w:rPr>
          <w:rFonts w:cs="Arial"/>
        </w:rPr>
      </w:pPr>
      <w:r>
        <w:t xml:space="preserve">(3) In a written examination in the form of a portfolio, the candidate independently writes, chooses and combines a limited number of documents on topics of a module and the results of the courses. A portfolio includes an introduction, a collection of documents and an academic reflection. It is possible to submit the portfolio digitally (as a presentation) with the consent of </w:t>
      </w:r>
      <w:r w:rsidR="00F80BF6">
        <w:lastRenderedPageBreak/>
        <w:t xml:space="preserve">the examiner. The portfolio may </w:t>
      </w:r>
      <w:r>
        <w:t xml:space="preserve">be done as groupwork with the written consent of the examiner; sections 12 </w:t>
      </w:r>
      <w:r w:rsidR="00F80BF6">
        <w:t>para.</w:t>
      </w:r>
      <w:r>
        <w:t xml:space="preserve"> 6 and 7, section 15 </w:t>
      </w:r>
      <w:r w:rsidR="004E444C">
        <w:t>para.</w:t>
      </w:r>
      <w:r>
        <w:t xml:space="preserve"> 8 </w:t>
      </w:r>
      <w:r w:rsidR="004E444C">
        <w:t>clause</w:t>
      </w:r>
      <w:r>
        <w:t xml:space="preserve"> 2, and section 19 </w:t>
      </w:r>
      <w:r w:rsidR="004E444C">
        <w:t>para.</w:t>
      </w:r>
      <w:r>
        <w:t xml:space="preserve"> 5 apply.</w:t>
      </w:r>
    </w:p>
    <w:p w14:paraId="36A6C813" w14:textId="2D3E3B32" w:rsidR="000F3661" w:rsidRDefault="000F3661" w:rsidP="000F3661">
      <w:pPr>
        <w:pStyle w:val="Textkrper"/>
        <w:spacing w:line="280" w:lineRule="exact"/>
        <w:rPr>
          <w:rFonts w:cs="Arial"/>
          <w:szCs w:val="20"/>
        </w:rPr>
      </w:pPr>
      <w:r>
        <w:t xml:space="preserve">(4) Written examinations are generally graded by a single examiner. In case of a final attempt, a second examiner will assess the written examination. If an examination is assessed by two examiners, the grade is determined by the </w:t>
      </w:r>
      <w:r w:rsidR="00A33735">
        <w:t>mathematical mean</w:t>
      </w:r>
      <w:r>
        <w:t xml:space="preserve"> of the two grades. Section 17 </w:t>
      </w:r>
      <w:r w:rsidR="004E444C">
        <w:t>para.</w:t>
      </w:r>
      <w:r>
        <w:t xml:space="preserve"> 3 applies. The assessment procedure is not to exceed four weeks. If the repeat examination takes place in the same examination period, the examination results will be announced no later than two weeks, otherwise four weeks, before the repeat examination date.</w:t>
      </w:r>
    </w:p>
    <w:p w14:paraId="37564B4F" w14:textId="2C3CCE2B" w:rsidR="000F3661" w:rsidRDefault="000F3661" w:rsidP="000F3661">
      <w:pPr>
        <w:pStyle w:val="Textkrper-Zeileneinzug"/>
        <w:ind w:left="0"/>
      </w:pPr>
      <w:r>
        <w:t>(5) If a candidate fails the second repeat of a written examination, a supplementary oral examination shall take place, as long as this is specified in the attachment. This supplementary examination is to be conducted as an individual examination lasting between 15 and 45 minutes; it is to be conducted in a timely manner. The supplementary oral examination only determines if the candidate should receive a grade of 4.0 (</w:t>
      </w:r>
      <w:r w:rsidR="00773A8D">
        <w:t>sufficient, “ausreichend”</w:t>
      </w:r>
      <w:r>
        <w:t>) or worse. An oral examination is not possible if the candidate failed to take one of the examinations or if the examination is graded as a fail (“nicht ausreic</w:t>
      </w:r>
      <w:r w:rsidR="00F80BF6">
        <w:t xml:space="preserve">hend”) according to section 19 para. </w:t>
      </w:r>
      <w:r>
        <w:t>3.</w:t>
      </w:r>
    </w:p>
    <w:p w14:paraId="0493D757" w14:textId="54E669D9" w:rsidR="000F3661" w:rsidRDefault="000F3661" w:rsidP="000F3661">
      <w:pPr>
        <w:pStyle w:val="HTMLVorformatiert"/>
        <w:spacing w:after="120" w:line="280" w:lineRule="exact"/>
        <w:jc w:val="both"/>
        <w:rPr>
          <w:rFonts w:ascii="Arial" w:hAnsi="Arial" w:cs="Arial"/>
          <w:sz w:val="22"/>
        </w:rPr>
      </w:pPr>
      <w:r>
        <w:rPr>
          <w:rFonts w:ascii="Arial" w:hAnsi="Arial"/>
          <w:sz w:val="22"/>
        </w:rPr>
        <w:t>(6) Examinations supported by multimedia (“E-exams”) are permitted provided they are suitable for completing an assessment or contribute to t</w:t>
      </w:r>
      <w:r w:rsidR="00F80BF6">
        <w:rPr>
          <w:rFonts w:ascii="Arial" w:hAnsi="Arial"/>
          <w:sz w:val="22"/>
        </w:rPr>
        <w:t>his end according to section 11 para. 1 clause 2</w:t>
      </w:r>
      <w:r>
        <w:rPr>
          <w:rFonts w:ascii="Arial" w:hAnsi="Arial"/>
          <w:sz w:val="22"/>
        </w:rPr>
        <w:t xml:space="preserve">; if necessary they may be supplemented with other forms of examinations. Multimedia examination tasks are usually designed by two examiners. They consist in particular of open questions, gap texts, and matching tasks. Multiple choice questions are </w:t>
      </w:r>
      <w:r w:rsidR="00166C4C">
        <w:rPr>
          <w:rFonts w:ascii="Arial" w:hAnsi="Arial"/>
          <w:sz w:val="22"/>
        </w:rPr>
        <w:t xml:space="preserve">allowed </w:t>
      </w:r>
      <w:commentRangeStart w:id="31"/>
      <w:commentRangeEnd w:id="31"/>
      <w:r>
        <w:rPr>
          <w:rFonts w:ascii="Arial" w:hAnsi="Arial"/>
          <w:sz w:val="22"/>
        </w:rPr>
        <w:t xml:space="preserve">provided that the requirements according to </w:t>
      </w:r>
      <w:r w:rsidR="004E444C">
        <w:rPr>
          <w:rFonts w:ascii="Arial" w:hAnsi="Arial"/>
          <w:sz w:val="22"/>
        </w:rPr>
        <w:t>para.</w:t>
      </w:r>
      <w:r>
        <w:rPr>
          <w:rFonts w:ascii="Arial" w:hAnsi="Arial"/>
          <w:sz w:val="22"/>
        </w:rPr>
        <w:t xml:space="preserve"> 7 are met. Prior to examinations that make use of multimedia support, it must be ensured that the electronic data can be identified and permanently and clearly assigned to one candidate. The examination must be conducted in the presence of a person familiar with the field of study (minute-taker</w:t>
      </w:r>
      <w:r w:rsidRPr="00F80BF6">
        <w:rPr>
          <w:rFonts w:ascii="Arial" w:hAnsi="Arial" w:cs="Arial"/>
          <w:sz w:val="22"/>
          <w:szCs w:val="22"/>
        </w:rPr>
        <w:t>). Minutes on the course of the examination are to be produced. The minutes must include the name of the minute-taker and the candidate(s), the start and end times of the examination, and any special incidents.</w:t>
      </w:r>
      <w:r>
        <w:rPr>
          <w:rFonts w:ascii="Arial" w:hAnsi="Arial"/>
          <w:sz w:val="22"/>
        </w:rPr>
        <w:t xml:space="preserve"> According to the provisions specified in section 23, candidates will be granted access to the examination with multimedia support and to their results. The questions, a sample answer sheet, the grading </w:t>
      </w:r>
      <w:r w:rsidR="00F80BF6">
        <w:rPr>
          <w:rFonts w:ascii="Arial" w:hAnsi="Arial"/>
          <w:sz w:val="22"/>
        </w:rPr>
        <w:t>scheme</w:t>
      </w:r>
      <w:r>
        <w:rPr>
          <w:rFonts w:ascii="Arial" w:hAnsi="Arial"/>
          <w:sz w:val="22"/>
        </w:rPr>
        <w:t>, the individual examination results and the minutes are to be archived according to legal regulations.</w:t>
      </w:r>
    </w:p>
    <w:p w14:paraId="36B8DC94" w14:textId="13C6FF89" w:rsidR="000F3661" w:rsidRPr="009B4259" w:rsidRDefault="000F3661" w:rsidP="000F3661">
      <w:pPr>
        <w:pStyle w:val="HTMLVorformatiert"/>
        <w:spacing w:after="120" w:line="280" w:lineRule="exact"/>
        <w:jc w:val="both"/>
        <w:rPr>
          <w:rFonts w:ascii="Arial" w:hAnsi="Arial" w:cs="Arial"/>
          <w:sz w:val="22"/>
        </w:rPr>
      </w:pPr>
      <w:r w:rsidRPr="00F80BF6">
        <w:rPr>
          <w:rFonts w:ascii="Arial" w:hAnsi="Arial" w:cs="Arial"/>
          <w:sz w:val="22"/>
          <w:szCs w:val="22"/>
        </w:rPr>
        <w:t>(7) The examination is considered a multiple-choice examination when the minimum passing score can only be reached by marking the right or wrong answers. The</w:t>
      </w:r>
      <w:r>
        <w:rPr>
          <w:rFonts w:ascii="Arial" w:hAnsi="Arial"/>
          <w:sz w:val="22"/>
        </w:rPr>
        <w:t xml:space="preserve"> minimum passing score is set by the examiner, depending on the difficulty of the examination, to between 50 and 60 percent</w:t>
      </w:r>
      <w:r w:rsidR="00F80BF6">
        <w:rPr>
          <w:rFonts w:ascii="Arial" w:hAnsi="Arial"/>
          <w:sz w:val="22"/>
        </w:rPr>
        <w:t>.</w:t>
      </w:r>
      <w:r>
        <w:rPr>
          <w:rFonts w:ascii="Arial" w:hAnsi="Arial"/>
          <w:sz w:val="22"/>
        </w:rPr>
        <w:t xml:space="preserve"> Multiple-choice examinations shall be permitted provided that they are suitable for completing an assessment or contribute to this end according to section 11 </w:t>
      </w:r>
      <w:r w:rsidR="004E444C">
        <w:rPr>
          <w:rFonts w:ascii="Arial" w:hAnsi="Arial"/>
          <w:sz w:val="22"/>
        </w:rPr>
        <w:t>para.</w:t>
      </w:r>
      <w:r>
        <w:rPr>
          <w:rFonts w:ascii="Arial" w:hAnsi="Arial"/>
          <w:sz w:val="22"/>
        </w:rPr>
        <w:t xml:space="preserve"> 1 </w:t>
      </w:r>
      <w:r w:rsidR="004E444C">
        <w:rPr>
          <w:rFonts w:ascii="Arial" w:hAnsi="Arial"/>
          <w:sz w:val="22"/>
        </w:rPr>
        <w:t>clause</w:t>
      </w:r>
      <w:r w:rsidR="00F80BF6">
        <w:rPr>
          <w:rFonts w:ascii="Arial" w:hAnsi="Arial"/>
          <w:sz w:val="22"/>
        </w:rPr>
        <w:t xml:space="preserve"> </w:t>
      </w:r>
      <w:r>
        <w:rPr>
          <w:rFonts w:ascii="Arial" w:hAnsi="Arial"/>
          <w:sz w:val="22"/>
        </w:rPr>
        <w:t xml:space="preserve">2. A multiple-choice examination is to be prepared by two examiners. The examiners choose the topic of the examination, draft the questions, determine possible answers and the weighting of the individual questions. In doing this, they must ensure that the points available for the individual questions in relation to the total score reflect the difficulty of the individual questions. They prepare the grading scheme and apply it after the examination. The examination questions must be unambiguous, clearly answerable and suitable as a way of precisely testing the candidate’s level of skills and knowledge. The requirements for passing the examination are to be determined prior to the examination. Before conducting a multiple-choice examination for the first time, the examiners must submit a description of the examination to the examination committee stating </w:t>
      </w:r>
      <w:r w:rsidR="00F80BF6">
        <w:rPr>
          <w:rFonts w:ascii="Arial" w:hAnsi="Arial"/>
          <w:sz w:val="22"/>
        </w:rPr>
        <w:t>its suitability according to clause 3</w:t>
      </w:r>
      <w:r>
        <w:rPr>
          <w:rFonts w:ascii="Arial" w:hAnsi="Arial"/>
          <w:sz w:val="22"/>
        </w:rPr>
        <w:t>. Moreover, for every examination the</w:t>
      </w:r>
    </w:p>
    <w:p w14:paraId="6CF2E78A" w14:textId="77777777" w:rsidR="000F3661" w:rsidRPr="009B4259" w:rsidRDefault="000F3661" w:rsidP="000F3661">
      <w:pPr>
        <w:pStyle w:val="HTMLVorformatiert"/>
        <w:numPr>
          <w:ilvl w:val="0"/>
          <w:numId w:val="5"/>
        </w:numPr>
        <w:spacing w:after="120" w:line="280" w:lineRule="exact"/>
        <w:jc w:val="both"/>
        <w:rPr>
          <w:rFonts w:ascii="Arial" w:hAnsi="Arial" w:cs="Arial"/>
          <w:sz w:val="22"/>
        </w:rPr>
      </w:pPr>
      <w:r>
        <w:rPr>
          <w:rFonts w:ascii="Arial" w:hAnsi="Arial"/>
          <w:sz w:val="22"/>
        </w:rPr>
        <w:t>chosen questions,</w:t>
      </w:r>
    </w:p>
    <w:p w14:paraId="3DA987CD" w14:textId="77777777" w:rsidR="000F3661" w:rsidRPr="009B4259" w:rsidRDefault="000F3661" w:rsidP="000F3661">
      <w:pPr>
        <w:pStyle w:val="HTMLVorformatiert"/>
        <w:numPr>
          <w:ilvl w:val="0"/>
          <w:numId w:val="5"/>
        </w:numPr>
        <w:spacing w:after="120" w:line="280" w:lineRule="exact"/>
        <w:jc w:val="both"/>
        <w:rPr>
          <w:rFonts w:ascii="Arial" w:hAnsi="Arial" w:cs="Arial"/>
          <w:sz w:val="22"/>
        </w:rPr>
      </w:pPr>
      <w:r>
        <w:rPr>
          <w:rFonts w:ascii="Arial" w:hAnsi="Arial"/>
          <w:sz w:val="22"/>
        </w:rPr>
        <w:t>the sample solutions,</w:t>
      </w:r>
    </w:p>
    <w:p w14:paraId="2BCBA841" w14:textId="77777777" w:rsidR="000F3661" w:rsidRPr="009B4259" w:rsidRDefault="000F3661" w:rsidP="000F3661">
      <w:pPr>
        <w:pStyle w:val="HTMLVorformatiert"/>
        <w:numPr>
          <w:ilvl w:val="0"/>
          <w:numId w:val="5"/>
        </w:numPr>
        <w:spacing w:after="120" w:line="280" w:lineRule="exact"/>
        <w:jc w:val="both"/>
        <w:rPr>
          <w:rFonts w:ascii="Arial" w:hAnsi="Arial" w:cs="Arial"/>
          <w:sz w:val="22"/>
        </w:rPr>
      </w:pPr>
      <w:r>
        <w:rPr>
          <w:rFonts w:ascii="Arial" w:hAnsi="Arial"/>
          <w:sz w:val="22"/>
        </w:rPr>
        <w:t xml:space="preserve">and the grading scheme </w:t>
      </w:r>
    </w:p>
    <w:p w14:paraId="3F0284DA" w14:textId="77777777" w:rsidR="000F3661" w:rsidRDefault="000F3661" w:rsidP="000F3661">
      <w:pPr>
        <w:pStyle w:val="HTMLVorformatiert"/>
        <w:spacing w:after="120" w:line="280" w:lineRule="exact"/>
        <w:jc w:val="both"/>
        <w:rPr>
          <w:rFonts w:ascii="Arial" w:hAnsi="Arial" w:cs="Arial"/>
          <w:sz w:val="22"/>
        </w:rPr>
      </w:pPr>
      <w:r>
        <w:rPr>
          <w:rFonts w:ascii="Arial" w:hAnsi="Arial"/>
          <w:sz w:val="22"/>
        </w:rPr>
        <w:lastRenderedPageBreak/>
        <w:t>are to be archived by the examination committee. The examination is considered passed if the candidate scores at least the minimum percentage of the total points. This minimum percentage is always the minimum passing score, if the average examination result of all candidates (in percent) does not fall below the minimum passing score. If, however, the average examination result falls below this score, the minimum passing score will be the sum of the examination specific bonus and the multiplication result of the examination specific factor with the average examination result (as a percentage) of all candidates.</w:t>
      </w:r>
    </w:p>
    <w:p w14:paraId="5EAF84B9" w14:textId="77777777" w:rsidR="000F3661" w:rsidRPr="009B4259" w:rsidRDefault="000F3661" w:rsidP="000F3661">
      <w:pPr>
        <w:pStyle w:val="HTMLVorformatiert"/>
        <w:spacing w:after="120" w:line="280" w:lineRule="exact"/>
        <w:jc w:val="both"/>
        <w:rPr>
          <w:rFonts w:ascii="Arial" w:hAnsi="Arial" w:cs="Arial"/>
          <w:sz w:val="22"/>
        </w:rPr>
      </w:pPr>
      <w:r>
        <w:rPr>
          <w:rFonts w:ascii="Arial" w:hAnsi="Arial"/>
          <w:sz w:val="22"/>
        </w:rPr>
        <w:t>The examination specific bonus is the statistically expected examination result (in percent) should the candidate use an optimal strategy to randomly answer the multiple-choice questions of the examination. The examination specific factor is equal to the difference between one and the relation between the examination specific bonus and the minimum passing score. If the candidate achieves the minimum passing score, they will receive a grade of</w:t>
      </w:r>
    </w:p>
    <w:p w14:paraId="0E838BC5" w14:textId="77777777" w:rsidR="000F3661" w:rsidRPr="009B4259" w:rsidRDefault="000F3661" w:rsidP="000F3661">
      <w:pPr>
        <w:pStyle w:val="HTMLVorformatiert"/>
        <w:tabs>
          <w:tab w:val="clear" w:pos="1832"/>
          <w:tab w:val="left" w:pos="1560"/>
        </w:tabs>
        <w:spacing w:after="120" w:line="280" w:lineRule="exact"/>
        <w:jc w:val="both"/>
        <w:rPr>
          <w:rFonts w:ascii="Arial" w:hAnsi="Arial" w:cs="Arial"/>
          <w:sz w:val="22"/>
        </w:rPr>
      </w:pPr>
      <w:r>
        <w:rPr>
          <w:rFonts w:ascii="Arial" w:hAnsi="Arial"/>
          <w:sz w:val="22"/>
        </w:rPr>
        <w:t xml:space="preserve">very good ("sehr gut") </w:t>
      </w:r>
      <w:r>
        <w:rPr>
          <w:rFonts w:ascii="Arial" w:hAnsi="Arial"/>
          <w:sz w:val="22"/>
        </w:rPr>
        <w:tab/>
        <w:t xml:space="preserve"> if at least 75 per cent,</w:t>
      </w:r>
    </w:p>
    <w:p w14:paraId="6795C0E2" w14:textId="18FE5675" w:rsidR="000F3661" w:rsidRPr="009B4259" w:rsidRDefault="000F3661" w:rsidP="000F3661">
      <w:pPr>
        <w:pStyle w:val="HTMLVorformatiert"/>
        <w:tabs>
          <w:tab w:val="clear" w:pos="1832"/>
          <w:tab w:val="left" w:pos="1560"/>
        </w:tabs>
        <w:spacing w:after="120" w:line="280" w:lineRule="exact"/>
        <w:jc w:val="both"/>
        <w:rPr>
          <w:rFonts w:ascii="Arial" w:hAnsi="Arial" w:cs="Arial"/>
          <w:sz w:val="22"/>
        </w:rPr>
      </w:pPr>
      <w:r>
        <w:rPr>
          <w:rFonts w:ascii="Arial" w:hAnsi="Arial"/>
          <w:sz w:val="22"/>
        </w:rPr>
        <w:t xml:space="preserve">good ("gut") </w:t>
      </w:r>
      <w:r>
        <w:rPr>
          <w:rFonts w:ascii="Arial" w:hAnsi="Arial"/>
          <w:sz w:val="22"/>
        </w:rPr>
        <w:tab/>
        <w:t xml:space="preserve"> </w:t>
      </w:r>
      <w:r w:rsidR="00F80BF6">
        <w:rPr>
          <w:rFonts w:ascii="Arial" w:hAnsi="Arial"/>
          <w:sz w:val="22"/>
        </w:rPr>
        <w:tab/>
        <w:t xml:space="preserve"> </w:t>
      </w:r>
      <w:r>
        <w:rPr>
          <w:rFonts w:ascii="Arial" w:hAnsi="Arial"/>
          <w:sz w:val="22"/>
        </w:rPr>
        <w:t>if at least 50, but less than 75 per cent</w:t>
      </w:r>
    </w:p>
    <w:p w14:paraId="77158068" w14:textId="180E16E5" w:rsidR="000F3661" w:rsidRPr="009B4259" w:rsidRDefault="00F80BF6" w:rsidP="000F3661">
      <w:pPr>
        <w:pStyle w:val="HTMLVorformatiert"/>
        <w:tabs>
          <w:tab w:val="clear" w:pos="1832"/>
          <w:tab w:val="left" w:pos="1560"/>
        </w:tabs>
        <w:spacing w:after="120" w:line="280" w:lineRule="exact"/>
        <w:jc w:val="both"/>
        <w:rPr>
          <w:rFonts w:ascii="Arial" w:hAnsi="Arial" w:cs="Arial"/>
          <w:sz w:val="22"/>
        </w:rPr>
      </w:pPr>
      <w:r>
        <w:rPr>
          <w:rFonts w:ascii="Arial" w:hAnsi="Arial"/>
          <w:sz w:val="22"/>
        </w:rPr>
        <w:t xml:space="preserve">satisfactory ("befriedigend")   </w:t>
      </w:r>
      <w:r w:rsidR="000F3661">
        <w:rPr>
          <w:rFonts w:ascii="Arial" w:hAnsi="Arial"/>
          <w:sz w:val="22"/>
        </w:rPr>
        <w:t>if at least 25, but less than 50 per cent</w:t>
      </w:r>
    </w:p>
    <w:p w14:paraId="0EEBFB9D" w14:textId="11E6932C" w:rsidR="000F3661" w:rsidRPr="009B4259" w:rsidRDefault="002B001E" w:rsidP="000F3661">
      <w:pPr>
        <w:pStyle w:val="HTMLVorformatiert"/>
        <w:tabs>
          <w:tab w:val="clear" w:pos="1832"/>
          <w:tab w:val="left" w:pos="1560"/>
        </w:tabs>
        <w:spacing w:after="120" w:line="280" w:lineRule="exact"/>
        <w:jc w:val="both"/>
        <w:rPr>
          <w:rFonts w:ascii="Arial" w:hAnsi="Arial" w:cs="Arial"/>
          <w:sz w:val="22"/>
        </w:rPr>
      </w:pPr>
      <w:r>
        <w:rPr>
          <w:rFonts w:ascii="Arial" w:hAnsi="Arial"/>
          <w:sz w:val="22"/>
        </w:rPr>
        <w:t xml:space="preserve">sufficient </w:t>
      </w:r>
      <w:r w:rsidR="000F3661">
        <w:rPr>
          <w:rFonts w:ascii="Arial" w:hAnsi="Arial"/>
          <w:sz w:val="22"/>
        </w:rPr>
        <w:t xml:space="preserve">("ausreichend") </w:t>
      </w:r>
      <w:r w:rsidR="000F3661">
        <w:rPr>
          <w:rFonts w:ascii="Arial" w:hAnsi="Arial"/>
          <w:sz w:val="22"/>
        </w:rPr>
        <w:tab/>
        <w:t xml:space="preserve"> </w:t>
      </w:r>
      <w:r w:rsidR="00F80BF6">
        <w:rPr>
          <w:rFonts w:ascii="Arial" w:hAnsi="Arial"/>
          <w:sz w:val="22"/>
        </w:rPr>
        <w:t xml:space="preserve"> </w:t>
      </w:r>
      <w:r w:rsidR="000F3661">
        <w:rPr>
          <w:rFonts w:ascii="Arial" w:hAnsi="Arial"/>
          <w:sz w:val="22"/>
        </w:rPr>
        <w:t>if 0 or less than 25 per cent</w:t>
      </w:r>
    </w:p>
    <w:p w14:paraId="0E2063D2" w14:textId="26779B5A" w:rsidR="000F3661" w:rsidRPr="009B4259" w:rsidRDefault="000F3661" w:rsidP="000F3661">
      <w:pPr>
        <w:pStyle w:val="HTMLVorformatiert"/>
        <w:tabs>
          <w:tab w:val="left" w:pos="8931"/>
        </w:tabs>
        <w:spacing w:after="120" w:line="280" w:lineRule="exact"/>
        <w:jc w:val="both"/>
        <w:rPr>
          <w:rFonts w:ascii="Arial" w:hAnsi="Arial" w:cs="Arial"/>
          <w:sz w:val="22"/>
        </w:rPr>
      </w:pPr>
      <w:r>
        <w:rPr>
          <w:rFonts w:ascii="Arial" w:hAnsi="Arial"/>
          <w:sz w:val="22"/>
        </w:rPr>
        <w:t xml:space="preserve">of the points above the minimum score have been achieved. Multiple-choice examinations are only recommended if the number of candidates and the number of examination questions is not below 30. It is recommended that the questions are designed in a way that ensures that the examination specific bonus does not exceed 20 per cent. This also applies to </w:t>
      </w:r>
      <w:r w:rsidR="00030C5F">
        <w:rPr>
          <w:rFonts w:ascii="Arial" w:hAnsi="Arial"/>
          <w:sz w:val="22"/>
        </w:rPr>
        <w:t>repeat examinations</w:t>
      </w:r>
      <w:r>
        <w:rPr>
          <w:rFonts w:ascii="Arial" w:hAnsi="Arial"/>
          <w:sz w:val="22"/>
        </w:rPr>
        <w:t xml:space="preserve">. If a candidate fails the second </w:t>
      </w:r>
      <w:r w:rsidR="003D1B56">
        <w:rPr>
          <w:rFonts w:ascii="Arial" w:hAnsi="Arial"/>
          <w:sz w:val="22"/>
        </w:rPr>
        <w:t>repeat</w:t>
      </w:r>
      <w:r>
        <w:rPr>
          <w:rFonts w:ascii="Arial" w:hAnsi="Arial"/>
          <w:sz w:val="22"/>
        </w:rPr>
        <w:t xml:space="preserve"> of a multiple-choice examination, a supplementary oral examination shall take place according to </w:t>
      </w:r>
      <w:r w:rsidR="004E444C">
        <w:rPr>
          <w:rFonts w:ascii="Arial" w:hAnsi="Arial"/>
          <w:sz w:val="22"/>
        </w:rPr>
        <w:t>para.</w:t>
      </w:r>
      <w:r>
        <w:rPr>
          <w:rFonts w:ascii="Arial" w:hAnsi="Arial"/>
          <w:sz w:val="22"/>
        </w:rPr>
        <w:t xml:space="preserve"> 5; by way of derogation from </w:t>
      </w:r>
      <w:r w:rsidR="004E444C">
        <w:rPr>
          <w:rFonts w:ascii="Arial" w:hAnsi="Arial"/>
          <w:sz w:val="22"/>
        </w:rPr>
        <w:t>para.</w:t>
      </w:r>
      <w:r>
        <w:rPr>
          <w:rFonts w:ascii="Arial" w:hAnsi="Arial"/>
          <w:sz w:val="22"/>
        </w:rPr>
        <w:t xml:space="preserve"> 5 </w:t>
      </w:r>
      <w:r w:rsidR="004E444C">
        <w:rPr>
          <w:rFonts w:ascii="Arial" w:hAnsi="Arial"/>
          <w:sz w:val="22"/>
        </w:rPr>
        <w:t>clause</w:t>
      </w:r>
      <w:r>
        <w:rPr>
          <w:rFonts w:ascii="Arial" w:hAnsi="Arial"/>
          <w:sz w:val="22"/>
        </w:rPr>
        <w:t xml:space="preserve"> 1, the oral examination shall be mandatory.</w:t>
      </w:r>
      <w:r>
        <w:rPr>
          <w:rFonts w:ascii="Arial" w:hAnsi="Arial"/>
        </w:rPr>
        <w:t xml:space="preserve"> </w:t>
      </w:r>
      <w:r w:rsidR="004E444C">
        <w:rPr>
          <w:rFonts w:ascii="Arial" w:hAnsi="Arial"/>
          <w:sz w:val="22"/>
        </w:rPr>
        <w:t>Para.</w:t>
      </w:r>
      <w:r>
        <w:rPr>
          <w:rFonts w:ascii="Arial" w:hAnsi="Arial"/>
          <w:sz w:val="22"/>
        </w:rPr>
        <w:t xml:space="preserve"> 5 </w:t>
      </w:r>
      <w:r w:rsidR="004E444C">
        <w:rPr>
          <w:rFonts w:ascii="Arial" w:hAnsi="Arial"/>
          <w:sz w:val="22"/>
        </w:rPr>
        <w:t>clause</w:t>
      </w:r>
      <w:r>
        <w:rPr>
          <w:rFonts w:ascii="Arial" w:hAnsi="Arial"/>
          <w:sz w:val="22"/>
        </w:rPr>
        <w:t xml:space="preserve"> 4 applies. </w:t>
      </w:r>
    </w:p>
    <w:p w14:paraId="0BA22218" w14:textId="77777777" w:rsidR="007D42CC" w:rsidRDefault="007D42CC" w:rsidP="000F3661">
      <w:pPr>
        <w:pStyle w:val="Textkrper3"/>
        <w:rPr>
          <w:rFonts w:cs="Arial"/>
          <w:sz w:val="22"/>
        </w:rPr>
      </w:pPr>
      <w:r>
        <w:rPr>
          <w:sz w:val="22"/>
          <w:szCs w:val="22"/>
        </w:rPr>
        <w:t xml:space="preserve">(8) The examiner decides on the resources that can be used during the sit-down examination. </w:t>
      </w:r>
      <w:r>
        <w:rPr>
          <w:sz w:val="22"/>
        </w:rPr>
        <w:t xml:space="preserve">Any acceptable resources are to be made known to the students in advance of the exam. </w:t>
      </w:r>
    </w:p>
    <w:p w14:paraId="0F8ED3C0" w14:textId="09AB30C8" w:rsidR="000F3661" w:rsidRPr="00A36A01" w:rsidRDefault="000F3661" w:rsidP="007D42CC">
      <w:r>
        <w:t xml:space="preserve">[optional (9) Section 12 </w:t>
      </w:r>
      <w:r w:rsidR="004E444C">
        <w:t>para.</w:t>
      </w:r>
      <w:r>
        <w:t xml:space="preserve"> 6 applies.]</w:t>
      </w:r>
    </w:p>
    <w:p w14:paraId="755E379A" w14:textId="77777777" w:rsidR="000F3661" w:rsidRDefault="000F3661" w:rsidP="0073098A"/>
    <w:p w14:paraId="3A87FA65" w14:textId="77777777" w:rsidR="007D42CC" w:rsidRDefault="007D42CC" w:rsidP="007D42CC">
      <w:pPr>
        <w:pStyle w:val="berschrift1"/>
      </w:pPr>
      <w:bookmarkStart w:id="32" w:name="_Toc157408904"/>
      <w:bookmarkStart w:id="33" w:name="_Toc321319995"/>
      <w:bookmarkStart w:id="34" w:name="_Toc522804412"/>
      <w:r>
        <w:t>Section 14</w:t>
      </w:r>
      <w:r>
        <w:br/>
        <w:t>Practical Module Examination</w:t>
      </w:r>
      <w:bookmarkEnd w:id="32"/>
      <w:r>
        <w:t>s</w:t>
      </w:r>
      <w:bookmarkEnd w:id="33"/>
      <w:bookmarkEnd w:id="34"/>
    </w:p>
    <w:p w14:paraId="0D9DBA74" w14:textId="171E8B1B" w:rsidR="007D42CC" w:rsidRDefault="007D42CC" w:rsidP="007D42CC">
      <w:pPr>
        <w:pStyle w:val="grundabsatzlayout"/>
        <w:tabs>
          <w:tab w:val="left" w:pos="567"/>
          <w:tab w:val="left" w:pos="6803"/>
          <w:tab w:val="left" w:pos="7937"/>
          <w:tab w:val="left" w:pos="8503"/>
        </w:tabs>
        <w:spacing w:before="0" w:beforeAutospacing="0" w:after="120" w:afterAutospacing="0" w:line="280" w:lineRule="exact"/>
        <w:jc w:val="both"/>
        <w:rPr>
          <w:rFonts w:ascii="Arial" w:eastAsia="Times New Roman" w:hAnsi="Arial" w:cs="Arial"/>
          <w:sz w:val="22"/>
          <w:szCs w:val="20"/>
        </w:rPr>
      </w:pPr>
      <w:r>
        <w:rPr>
          <w:rFonts w:ascii="Arial" w:hAnsi="Arial"/>
          <w:sz w:val="22"/>
          <w:szCs w:val="20"/>
        </w:rPr>
        <w:t xml:space="preserve">(1) The practical examination takes place as an individual or group examination. When conducting it as a group examination, section 15 </w:t>
      </w:r>
      <w:r w:rsidR="004E444C">
        <w:rPr>
          <w:rFonts w:ascii="Arial" w:hAnsi="Arial"/>
          <w:sz w:val="22"/>
          <w:szCs w:val="20"/>
        </w:rPr>
        <w:t>para.</w:t>
      </w:r>
      <w:r>
        <w:rPr>
          <w:rFonts w:ascii="Arial" w:hAnsi="Arial"/>
          <w:sz w:val="22"/>
          <w:szCs w:val="20"/>
        </w:rPr>
        <w:t xml:space="preserve"> 8 applies. The attachment specifies the type and duration of the practical examination.</w:t>
      </w:r>
    </w:p>
    <w:p w14:paraId="7706ABBC" w14:textId="738D3BCA" w:rsidR="007D42CC" w:rsidRDefault="007D42CC" w:rsidP="007D42CC">
      <w:pPr>
        <w:rPr>
          <w:rFonts w:eastAsia="Times New Roman"/>
          <w:szCs w:val="20"/>
        </w:rPr>
      </w:pPr>
      <w:r>
        <w:t>(2) A practical examination is to be held in front of at least two examiners, or one examiner in the presence of an observer familiar with the subje</w:t>
      </w:r>
      <w:r w:rsidR="00030C5F">
        <w:t xml:space="preserve">ct field according to section 8 para. </w:t>
      </w:r>
      <w:r>
        <w:t xml:space="preserve">4. If multiple examiners are present, the examiners should agree on a single grade. If the examiners cannot reach a consensus, the </w:t>
      </w:r>
      <w:r w:rsidR="00A33735">
        <w:t>mathematical mean</w:t>
      </w:r>
      <w:r>
        <w:t xml:space="preserve"> of their individual grades will be recorded. Section 17 </w:t>
      </w:r>
      <w:r w:rsidR="004E444C">
        <w:t>para.</w:t>
      </w:r>
      <w:r>
        <w:t xml:space="preserve"> 3 applies. Section 12, </w:t>
      </w:r>
      <w:r w:rsidR="00030C5F">
        <w:t>para.</w:t>
      </w:r>
      <w:r>
        <w:t xml:space="preserve"> 3-5 apply. The result of the practical examination is announced to the candidate directly after the practical examination. </w:t>
      </w:r>
    </w:p>
    <w:p w14:paraId="55F742F5" w14:textId="1893318B" w:rsidR="007D42CC" w:rsidRDefault="007D42CC" w:rsidP="007D42CC">
      <w:r>
        <w:t xml:space="preserve">(3) If the practical examination contains tasks that have to be prepared for, </w:t>
      </w:r>
      <w:r w:rsidR="00166C4C">
        <w:t>these must be worked out independently</w:t>
      </w:r>
      <w:r w:rsidR="00581039">
        <w:t xml:space="preserve">. </w:t>
      </w:r>
      <w:r>
        <w:t>Examination tasks that have to be prepared for must be submitted completely and in writing by the examiner to the respective chair of the examination committee. The chair of the examination committee assigns the task to the student. The dates of the assignments shall be put on record.</w:t>
      </w:r>
    </w:p>
    <w:p w14:paraId="09D08DFE" w14:textId="77777777" w:rsidR="007D42CC" w:rsidRDefault="007D42CC" w:rsidP="007D42CC"/>
    <w:p w14:paraId="20E40CB6" w14:textId="77777777" w:rsidR="007D42CC" w:rsidRDefault="007D42CC" w:rsidP="007D42CC">
      <w:pPr>
        <w:pStyle w:val="berschrift1"/>
      </w:pPr>
      <w:bookmarkStart w:id="35" w:name="_Toc321319996"/>
      <w:bookmarkStart w:id="36" w:name="_Toc522804413"/>
      <w:r>
        <w:lastRenderedPageBreak/>
        <w:t>Section 15</w:t>
      </w:r>
      <w:r>
        <w:br/>
        <w:t>Master's Thesis</w:t>
      </w:r>
      <w:bookmarkEnd w:id="35"/>
      <w:bookmarkEnd w:id="36"/>
    </w:p>
    <w:p w14:paraId="67C867E0" w14:textId="7E1FA05E" w:rsidR="007D42CC" w:rsidRDefault="007D42CC" w:rsidP="007D42CC">
      <w:pPr>
        <w:rPr>
          <w:rFonts w:cs="Arial"/>
        </w:rPr>
      </w:pPr>
      <w:r>
        <w:t xml:space="preserve">(1) The master's thesis is a [written or artistic] examination that serves to prove that the candidate is capable of working on a problem of a special subject area of the </w:t>
      </w:r>
      <w:r w:rsidR="00B57370">
        <w:t>master’s degree program</w:t>
      </w:r>
      <w:r>
        <w:t xml:space="preserve"> within a set period of time applying the standard methods of the respective subject field. The supervisor is obliged to give advice and to oversee the progress of the candidate’s master’s thesis on a regular basis. </w:t>
      </w:r>
    </w:p>
    <w:p w14:paraId="0E45DA57" w14:textId="37EADAB9" w:rsidR="007D42CC" w:rsidRDefault="007D42CC" w:rsidP="007D42CC">
      <w:pPr>
        <w:pStyle w:val="Textkrper"/>
        <w:spacing w:line="280" w:lineRule="exact"/>
        <w:rPr>
          <w:rFonts w:cs="Arial"/>
          <w:szCs w:val="20"/>
        </w:rPr>
      </w:pPr>
      <w:r>
        <w:t>(2) The supervisor of the master's thesis is one of the persons appointed as e</w:t>
      </w:r>
      <w:r w:rsidR="00030C5F">
        <w:t xml:space="preserve">xaminers according to section 8 para </w:t>
      </w:r>
      <w:r>
        <w:t xml:space="preserve">2. If the master’s thesis is to be completed at an institution not belonging to the Faculty </w:t>
      </w:r>
      <w:r w:rsidR="00505704">
        <w:t xml:space="preserve">that offers </w:t>
      </w:r>
      <w:r>
        <w:t xml:space="preserve">the </w:t>
      </w:r>
      <w:r w:rsidR="00B57370">
        <w:t>degree program</w:t>
      </w:r>
      <w:r>
        <w:t xml:space="preserve">, approval from the chair of the examination board is necessary. </w:t>
      </w:r>
    </w:p>
    <w:p w14:paraId="28D5E68B" w14:textId="2CBCDFBB" w:rsidR="007D42CC" w:rsidRDefault="007D42CC" w:rsidP="007D42CC">
      <w:pPr>
        <w:pStyle w:val="Textkrper"/>
        <w:spacing w:line="280" w:lineRule="exact"/>
        <w:rPr>
          <w:rFonts w:cs="Arial"/>
        </w:rPr>
      </w:pPr>
      <w:r>
        <w:t xml:space="preserve">(3) The provisional topic of the master's thesis is to be agreed upon with the supervisor and then submitted to the examination committee immediately after receiving the approval of the supervisor as part of registration for the master’s thesis according to </w:t>
      </w:r>
      <w:r w:rsidR="004E444C">
        <w:t>para.</w:t>
      </w:r>
      <w:r>
        <w:t xml:space="preserve"> 4. If the candidate is not able to find a supervisor, the chair of the examination committee shall make sure that the candidate receives a topic and a supervisor for the master's thesis in time.</w:t>
      </w:r>
    </w:p>
    <w:p w14:paraId="059F9DD5" w14:textId="45060D70" w:rsidR="007D42CC" w:rsidRDefault="007D42CC" w:rsidP="007D42CC">
      <w:pPr>
        <w:pStyle w:val="Textkrper"/>
        <w:spacing w:line="280" w:lineRule="exact"/>
        <w:rPr>
          <w:rFonts w:cs="Arial"/>
          <w:szCs w:val="20"/>
        </w:rPr>
      </w:pPr>
      <w:r>
        <w:t xml:space="preserve">(4) Generally, registration for the master’s thesis takes place in the middle of the third semester. </w:t>
      </w:r>
      <w:r>
        <w:rPr>
          <w:color w:val="FF0000"/>
          <w:highlight w:val="lightGray"/>
        </w:rPr>
        <w:t>[optional: The subject-specific attachment may specify different rules.]</w:t>
      </w:r>
    </w:p>
    <w:p w14:paraId="577697E5" w14:textId="77777777" w:rsidR="007D42CC" w:rsidRDefault="007D42CC" w:rsidP="007D42CC">
      <w:pPr>
        <w:rPr>
          <w:rFonts w:cs="Arial"/>
        </w:rPr>
      </w:pPr>
      <w:r>
        <w:t xml:space="preserve">The master's thesis is to be completed within </w:t>
      </w:r>
      <w:r>
        <w:rPr>
          <w:color w:val="FF0000"/>
        </w:rPr>
        <w:t>▀</w:t>
      </w:r>
      <w:r>
        <w:t xml:space="preserve"> months. In special cases and upon written request, the examination committee in agreement with the supervisor may grant an extension of up to six weeks. If the deadline is extended, the standard period of study is not to be exceeded.</w:t>
      </w:r>
    </w:p>
    <w:p w14:paraId="7BAE09C6" w14:textId="5C0780D4" w:rsidR="007D42CC" w:rsidRDefault="007D42CC" w:rsidP="007D42CC">
      <w:pPr>
        <w:rPr>
          <w:rFonts w:cs="Arial"/>
        </w:rPr>
      </w:pPr>
      <w:r>
        <w:t>(6) The topic, assignment, and scope of the master's thesis shall be specified by the supervisor so that the student is able to complete it within the given period of time. The deadline is set based on the day the topic is agreed upon w</w:t>
      </w:r>
      <w:r w:rsidR="00030C5F">
        <w:t>ith the supervisor and</w:t>
      </w:r>
      <w:r>
        <w:t xml:space="preserve"> subject to the approval of the head of the ex</w:t>
      </w:r>
      <w:r w:rsidR="00030C5F">
        <w:t xml:space="preserve">amination committee; section 10 para </w:t>
      </w:r>
      <w:r>
        <w:t>3 applies. The date of the assignment is to be entered into the records by the responsible examination committee. The topic of the master's thesis may be changed once and only within a month of registration. A new topic is to be agreed upon immediately, at</w:t>
      </w:r>
      <w:r w:rsidR="00030C5F">
        <w:t xml:space="preserve"> the latest within four weeks; clause 1</w:t>
      </w:r>
      <w:r>
        <w:t xml:space="preserve"> and </w:t>
      </w:r>
      <w:r w:rsidR="004E444C">
        <w:t>para.</w:t>
      </w:r>
      <w:r w:rsidR="00030C5F">
        <w:t xml:space="preserve"> 5 clause 1</w:t>
      </w:r>
      <w:r>
        <w:t xml:space="preserve"> apply.</w:t>
      </w:r>
    </w:p>
    <w:p w14:paraId="5EB9EC1C" w14:textId="77777777" w:rsidR="007D42CC" w:rsidRDefault="007D42CC" w:rsidP="007D42CC">
      <w:pPr>
        <w:rPr>
          <w:rFonts w:cs="Arial"/>
        </w:rPr>
      </w:pPr>
      <w:r>
        <w:t xml:space="preserve">(7) The master’s thesis may be written in German or a foreign language. </w:t>
      </w:r>
      <w:r>
        <w:rPr>
          <w:highlight w:val="lightGray"/>
        </w:rPr>
        <w:t>[optional:</w:t>
      </w:r>
      <w:r>
        <w:rPr>
          <w:color w:val="FF0000"/>
          <w:highlight w:val="lightGray"/>
        </w:rPr>
        <w:t xml:space="preserve"> </w:t>
      </w:r>
      <w:r>
        <w:rPr>
          <w:shd w:val="clear" w:color="auto" w:fill="D9D9D9" w:themeFill="background1" w:themeFillShade="D9"/>
        </w:rPr>
        <w:t>English, German or another language.]</w:t>
      </w:r>
      <w:r>
        <w:t xml:space="preserve"> Whether or not the examination committee approves that the master’s thesis may be written in a foreign language depends on whether the following requirements are met:</w:t>
      </w:r>
    </w:p>
    <w:p w14:paraId="1DA3DFB1" w14:textId="77777777" w:rsidR="007D42CC" w:rsidRDefault="007D42CC" w:rsidP="007D42CC">
      <w:pPr>
        <w:numPr>
          <w:ilvl w:val="0"/>
          <w:numId w:val="6"/>
        </w:numPr>
        <w:rPr>
          <w:rFonts w:cs="Arial"/>
        </w:rPr>
      </w:pPr>
      <w:r>
        <w:t>The candidate is sufficiently proficient in the chosen foreign language;</w:t>
      </w:r>
    </w:p>
    <w:p w14:paraId="32C943E5" w14:textId="77777777" w:rsidR="007D42CC" w:rsidRDefault="007D42CC" w:rsidP="007D42CC">
      <w:pPr>
        <w:numPr>
          <w:ilvl w:val="0"/>
          <w:numId w:val="6"/>
        </w:numPr>
        <w:rPr>
          <w:rFonts w:cs="Arial"/>
        </w:rPr>
      </w:pPr>
      <w:r>
        <w:t>The supervisor is sufficiently proficient in the chosen foreign language;</w:t>
      </w:r>
    </w:p>
    <w:p w14:paraId="6E3E83AD" w14:textId="432B5FAF" w:rsidR="007D42CC" w:rsidRDefault="007D42CC" w:rsidP="007D42CC">
      <w:pPr>
        <w:numPr>
          <w:ilvl w:val="0"/>
          <w:numId w:val="6"/>
        </w:numPr>
        <w:rPr>
          <w:rFonts w:cs="Arial"/>
        </w:rPr>
      </w:pPr>
      <w:r>
        <w:t xml:space="preserve">The possibility exists of appointing a second evaluator according to </w:t>
      </w:r>
      <w:r w:rsidR="004E444C">
        <w:t>para.</w:t>
      </w:r>
      <w:r>
        <w:t xml:space="preserve"> 10 </w:t>
      </w:r>
      <w:r w:rsidR="004E444C">
        <w:t>clause</w:t>
      </w:r>
      <w:r>
        <w:t xml:space="preserve"> 2 with sufficient proficiency in the chosen foreign language.</w:t>
      </w:r>
    </w:p>
    <w:p w14:paraId="6F4E7BBB" w14:textId="0D984297" w:rsidR="007D42CC" w:rsidRDefault="007D42CC" w:rsidP="007D42CC">
      <w:pPr>
        <w:rPr>
          <w:rFonts w:cs="Arial"/>
        </w:rPr>
      </w:pPr>
      <w:r>
        <w:t xml:space="preserve">The request to complete the master's thesis in a foreign language other than English must be submitted with the declaration of consent of the supervisor when registering for the master's examination as specified in </w:t>
      </w:r>
      <w:r w:rsidR="004E444C">
        <w:t>para.</w:t>
      </w:r>
      <w:r>
        <w:t xml:space="preserve"> 4.</w:t>
      </w:r>
    </w:p>
    <w:p w14:paraId="30EDA6C0" w14:textId="0B3E9CF5" w:rsidR="007D42CC" w:rsidRDefault="007D42CC" w:rsidP="007D42CC">
      <w:pPr>
        <w:rPr>
          <w:rFonts w:cs="Arial"/>
        </w:rPr>
      </w:pPr>
      <w:r>
        <w:t xml:space="preserve">(8) If agreed upon in writing by the supervisor, the master's thesis may be completed as a group project. The work of the individual candidates must be made clearly identifiable by using sections, page numbers or other objective criteria so that the work can be individually and independently graded, and meet the requirements according to </w:t>
      </w:r>
      <w:r w:rsidR="004E444C">
        <w:t>para.</w:t>
      </w:r>
      <w:r>
        <w:t xml:space="preserve"> 1. </w:t>
      </w:r>
    </w:p>
    <w:p w14:paraId="2822EA4B" w14:textId="7E0D93B8" w:rsidR="000029F8" w:rsidRDefault="007D42CC" w:rsidP="007D42CC">
      <w:pPr>
        <w:rPr>
          <w:rFonts w:cs="Arial"/>
        </w:rPr>
      </w:pPr>
      <w:r>
        <w:lastRenderedPageBreak/>
        <w:t xml:space="preserve">(9) The candidate submits two bound copies of the master's thesis to the responsible examination committee before the deadline </w:t>
      </w:r>
      <w:r>
        <w:rPr>
          <w:color w:val="FF0000"/>
          <w:highlight w:val="lightGray"/>
        </w:rPr>
        <w:t>[optional: and a digital copy.  The format must meet the requirements of the examination committee]</w:t>
      </w:r>
      <w:r>
        <w:t xml:space="preserve">. He or she must also submit a written declaration according to section 19 </w:t>
      </w:r>
      <w:r w:rsidR="004E444C">
        <w:t>para.</w:t>
      </w:r>
      <w:r>
        <w:t xml:space="preserve"> 5. If the thesis has been completed in a foreign language according to </w:t>
      </w:r>
      <w:r w:rsidR="004E444C">
        <w:t>para.</w:t>
      </w:r>
      <w:r>
        <w:t xml:space="preserve"> 7, an abstract in German must be included. The date of submission must be entered into the records. If the master's thesis is not submitted on time according to </w:t>
      </w:r>
      <w:r w:rsidR="004E444C">
        <w:t>para.</w:t>
      </w:r>
      <w:r>
        <w:t xml:space="preserve"> 5, it will be graded as “failed” (5.0, ‘nicht ausreichend’). If the master’s thesis is not submitted in the proper form according to </w:t>
      </w:r>
      <w:r w:rsidR="004E444C">
        <w:t>clause</w:t>
      </w:r>
      <w:r>
        <w:t xml:space="preserve"> 1 and 2, it can be graded as “failed” (5.0). </w:t>
      </w:r>
    </w:p>
    <w:p w14:paraId="5E831137" w14:textId="4A254D7E" w:rsidR="007D42CC" w:rsidRDefault="007D42CC" w:rsidP="007D42CC">
      <w:pPr>
        <w:rPr>
          <w:rFonts w:cs="Arial"/>
        </w:rPr>
      </w:pPr>
      <w:r>
        <w:t xml:space="preserve">(10) The responsible examination committee forwards the master's thesis to the supervisor as its first evaluator. At the same time, the examination committee appoints one of the examiners as a second evaluator for the second evaluation according to section 8 </w:t>
      </w:r>
      <w:r w:rsidR="004E444C">
        <w:t>para.</w:t>
      </w:r>
      <w:r>
        <w:t xml:space="preserve"> 2 and forwards the thesis to him or her. </w:t>
      </w:r>
      <w:r>
        <w:rPr>
          <w:color w:val="FF0000"/>
          <w:u w:val="single"/>
        </w:rPr>
        <w:t>For theses with interdisciplinary topics, the evaluator may be chosen from the other relevant subject or department.</w:t>
      </w:r>
      <w:r>
        <w:rPr>
          <w:color w:val="FF0000"/>
        </w:rPr>
        <w:t xml:space="preserve"> </w:t>
      </w:r>
      <w:r>
        <w:t>At least one of the evaluators must be a professor at the responsible Faculty of the University of Mainz, or belong to an affiliate</w:t>
      </w:r>
      <w:r w:rsidR="00DF7969">
        <w:t>d university as a professor or must have completed a</w:t>
      </w:r>
      <w:r>
        <w:t xml:space="preserve"> habilitation</w:t>
      </w:r>
      <w:r w:rsidR="00DF7969">
        <w:t xml:space="preserve"> in the respective subject</w:t>
      </w:r>
      <w:r>
        <w:t xml:space="preserve">. </w:t>
      </w:r>
    </w:p>
    <w:p w14:paraId="6538603E" w14:textId="70843804" w:rsidR="007D42CC" w:rsidRPr="00C12851" w:rsidRDefault="007D42CC" w:rsidP="007D42CC">
      <w:pPr>
        <w:rPr>
          <w:rFonts w:cs="Arial"/>
        </w:rPr>
      </w:pPr>
      <w:r>
        <w:t xml:space="preserve">(11) The submitted master's thesis will be assessed by the evaluators according to the provisions specified in section 17, and they will include a written evaluation. If the evaluators’ assessments differ by up to one full grade (&lt;1.0) the evaluators shall agree upon one grade. If they fail to come to such an agreement, the grade for the master's thesis will be made up of the average grade. If the evaluators’ assessments differ by more than one full grade (&gt; 1.0), the chair of the examination committee will appoint a third examiner. On the basis of the three assessments, the chair of the examination committee derives the grade from the mathematical mean. Section 17 </w:t>
      </w:r>
      <w:r w:rsidR="004E444C">
        <w:t>para.</w:t>
      </w:r>
      <w:r>
        <w:t xml:space="preserve"> 3 applies. The grading procedure is not to exceed six weeks. If one of the evaluators is unable to complete the grading process, the examination committee may name a replacement evaluator. A change of evaluators is to be documented in the examination file and communicated to all parties in writing.</w:t>
      </w:r>
    </w:p>
    <w:p w14:paraId="3ED10EA1" w14:textId="1BF78D01" w:rsidR="007D42CC" w:rsidRDefault="007D42CC" w:rsidP="007D42CC">
      <w:r>
        <w:t>(12) The master's thesis has been passed if the total grade is at least “</w:t>
      </w:r>
      <w:r w:rsidR="00773A8D">
        <w:t>sufficient</w:t>
      </w:r>
      <w:r>
        <w:t xml:space="preserve">” (4.0, ‘ausreichend’). A thesis that receives a grade of “failed” (5,0) or is otherwise considered to have been failed may be repeated once. The examination committee makes sure that the candidate receives a new topic for their master's thesis within six weeks. The topic may only be changed prior to the deadline specified in </w:t>
      </w:r>
      <w:r w:rsidR="004E444C">
        <w:t>para.</w:t>
      </w:r>
      <w:r>
        <w:t xml:space="preserve"> 6 </w:t>
      </w:r>
      <w:r w:rsidR="004E444C">
        <w:t>clause</w:t>
      </w:r>
      <w:r>
        <w:t xml:space="preserve"> 4 if the candidate did not change the topic during their first attempt. The master's thesis may not be repeated twice.</w:t>
      </w:r>
    </w:p>
    <w:p w14:paraId="752B03BD" w14:textId="77777777" w:rsidR="007D42CC" w:rsidRDefault="007D42CC" w:rsidP="007D42CC"/>
    <w:p w14:paraId="0E3B4DEB" w14:textId="6E73D4D9" w:rsidR="00025479" w:rsidRPr="00C03D26" w:rsidRDefault="00025479" w:rsidP="008B4894">
      <w:pPr>
        <w:pStyle w:val="berschrift1"/>
      </w:pPr>
      <w:bookmarkStart w:id="37" w:name="_Toc321319997"/>
      <w:bookmarkStart w:id="38" w:name="_Toc522804414"/>
      <w:r>
        <w:t>Section 16</w:t>
      </w:r>
      <w:r>
        <w:br/>
      </w:r>
      <w:r w:rsidR="002D3AD1">
        <w:t xml:space="preserve">Final </w:t>
      </w:r>
      <w:r>
        <w:t>Oral Examination</w:t>
      </w:r>
      <w:bookmarkEnd w:id="37"/>
      <w:bookmarkEnd w:id="38"/>
    </w:p>
    <w:p w14:paraId="1428E559" w14:textId="1153C430" w:rsidR="00025479" w:rsidRPr="00C03D26" w:rsidRDefault="00025479" w:rsidP="00025479">
      <w:pPr>
        <w:rPr>
          <w:rFonts w:cs="Arial"/>
        </w:rPr>
      </w:pPr>
      <w:r>
        <w:t>(1) If the master’s thesis receives a grade of at least “</w:t>
      </w:r>
      <w:r w:rsidR="00773A8D">
        <w:t>sufficient</w:t>
      </w:r>
      <w:r>
        <w:t xml:space="preserve">” (4.0), the candidate shall be admitted to the </w:t>
      </w:r>
      <w:r w:rsidR="002D3AD1">
        <w:t xml:space="preserve">final </w:t>
      </w:r>
      <w:r>
        <w:t xml:space="preserve">oral examination. Section 10 </w:t>
      </w:r>
      <w:r w:rsidR="004E444C">
        <w:t>para.</w:t>
      </w:r>
      <w:r>
        <w:t xml:space="preserve"> 3 remains unaffected. This examination shall take place within four weeks of the end of the grading process, according to section 15 </w:t>
      </w:r>
      <w:r w:rsidR="004E444C">
        <w:t>para.</w:t>
      </w:r>
      <w:r>
        <w:t xml:space="preserve"> 11. The date of the final </w:t>
      </w:r>
      <w:r w:rsidR="002D3AD1">
        <w:t xml:space="preserve">oral </w:t>
      </w:r>
      <w:r>
        <w:t>examination is determined by the examination committee and the candidate is then immediately informed of this in writing.</w:t>
      </w:r>
    </w:p>
    <w:p w14:paraId="7FF34AEA" w14:textId="68D61B33" w:rsidR="00025479" w:rsidRPr="00C03D26" w:rsidRDefault="00025479" w:rsidP="00025479">
      <w:pPr>
        <w:rPr>
          <w:rFonts w:cs="Arial"/>
        </w:rPr>
      </w:pPr>
      <w:r>
        <w:t xml:space="preserve">(2) </w:t>
      </w:r>
      <w:r>
        <w:rPr>
          <w:color w:val="FF0000"/>
          <w:highlight w:val="lightGray"/>
        </w:rPr>
        <w:t>[optional: According to the more detailed specifications in the attachment,]</w:t>
      </w:r>
      <w:r>
        <w:rPr>
          <w:color w:val="FF0000"/>
        </w:rPr>
        <w:t xml:space="preserve"> </w:t>
      </w:r>
      <w:r>
        <w:t xml:space="preserve">The examination lasts </w:t>
      </w:r>
      <w:r>
        <w:rPr>
          <w:color w:val="FF0000"/>
        </w:rPr>
        <w:t xml:space="preserve">▀ </w:t>
      </w:r>
      <w:r>
        <w:t xml:space="preserve">minutes per candidate. It is conducted either by two examiners or by one examiner in the presence of an observer familiar with the subject field. As a rule, one of the examiners should be the supervisor of the master's thesis. </w:t>
      </w:r>
    </w:p>
    <w:p w14:paraId="338DED11" w14:textId="6EB89FDB" w:rsidR="00025479" w:rsidRPr="00C03D26" w:rsidRDefault="00025479" w:rsidP="00025479">
      <w:pPr>
        <w:rPr>
          <w:rFonts w:cs="Arial"/>
        </w:rPr>
      </w:pPr>
      <w:r>
        <w:t xml:space="preserve">(3) The subject of the final </w:t>
      </w:r>
      <w:r w:rsidR="002D3AD1">
        <w:t xml:space="preserve">oral </w:t>
      </w:r>
      <w:r>
        <w:t xml:space="preserve">examination is the contents of the master’s thesis, as well as questions and exercises in the context of the thesis topic </w:t>
      </w:r>
      <w:r>
        <w:rPr>
          <w:color w:val="FF0000"/>
          <w:highlight w:val="lightGray"/>
        </w:rPr>
        <w:t xml:space="preserve">[optional: and a second appropriate </w:t>
      </w:r>
      <w:r>
        <w:rPr>
          <w:color w:val="FF0000"/>
          <w:highlight w:val="lightGray"/>
        </w:rPr>
        <w:lastRenderedPageBreak/>
        <w:t>module of the candidate’s choice, which is to be discussed with the examiners in advance]</w:t>
      </w:r>
      <w:r>
        <w:t xml:space="preserve">. The candidate will have the chance to present his or her work during the exam; the presentation should not last longer than ten minutes. </w:t>
      </w:r>
      <w:r>
        <w:rPr>
          <w:color w:val="FF0000"/>
          <w:highlight w:val="lightGray"/>
        </w:rPr>
        <w:t>[optional: The attachment may specify different rules.]</w:t>
      </w:r>
      <w:r>
        <w:t xml:space="preserve"> The examination is usually conducted in German; in individual cases, the exam can be conducted in a different language; the regulations in section 15 </w:t>
      </w:r>
      <w:r w:rsidR="004E444C">
        <w:t>para.</w:t>
      </w:r>
      <w:r>
        <w:t xml:space="preserve"> 7 are to be met. </w:t>
      </w:r>
      <w:r>
        <w:rPr>
          <w:color w:val="FF0000"/>
          <w:highlight w:val="lightGray"/>
        </w:rPr>
        <w:t xml:space="preserve">[optional: In Modern Language subjects, the examination may be held in the language that the candidate is studying (more details in the attachment); section 12 </w:t>
      </w:r>
      <w:r w:rsidR="004E444C">
        <w:rPr>
          <w:color w:val="FF0000"/>
          <w:highlight w:val="lightGray"/>
        </w:rPr>
        <w:t>para.</w:t>
      </w:r>
      <w:r>
        <w:rPr>
          <w:color w:val="FF0000"/>
          <w:highlight w:val="lightGray"/>
        </w:rPr>
        <w:t xml:space="preserve"> 6 applies.</w:t>
      </w:r>
    </w:p>
    <w:p w14:paraId="66CC7AF7" w14:textId="40AE2EB8" w:rsidR="00025479" w:rsidRPr="00C03D26" w:rsidRDefault="00025479" w:rsidP="00025479">
      <w:pPr>
        <w:rPr>
          <w:rFonts w:cs="Arial"/>
        </w:rPr>
      </w:pPr>
      <w:r>
        <w:t xml:space="preserve">(4) Following the examination and after having heard from the observer, the examiners or the examiner shall determine the grade for the examination. Section 12 </w:t>
      </w:r>
      <w:r w:rsidR="004E444C">
        <w:t>para.</w:t>
      </w:r>
      <w:r>
        <w:t xml:space="preserve"> 2, </w:t>
      </w:r>
      <w:r w:rsidR="004E444C">
        <w:t>clause</w:t>
      </w:r>
      <w:r>
        <w:t>s 4-7 apply. The final oral examination is considered to have been failed if the grade is worse than “</w:t>
      </w:r>
      <w:r w:rsidR="007A05FD">
        <w:t xml:space="preserve">sufficient </w:t>
      </w:r>
      <w:r>
        <w:t xml:space="preserve">” (4.0). Section 12 </w:t>
      </w:r>
      <w:r w:rsidR="004E444C">
        <w:t>para.</w:t>
      </w:r>
      <w:r>
        <w:t xml:space="preserve"> 2 </w:t>
      </w:r>
      <w:r w:rsidR="004E444C">
        <w:t>clause</w:t>
      </w:r>
      <w:r w:rsidR="00030C5F">
        <w:t xml:space="preserve">s 8 </w:t>
      </w:r>
      <w:r>
        <w:t xml:space="preserve">and 9 apply to the announcement of the grade; section 12 </w:t>
      </w:r>
      <w:r w:rsidR="004E444C">
        <w:t>para.</w:t>
      </w:r>
      <w:r>
        <w:t xml:space="preserve"> 3 applies to the required minutes; sections 12 </w:t>
      </w:r>
      <w:r w:rsidR="004E444C">
        <w:t>para.</w:t>
      </w:r>
      <w:r>
        <w:t xml:space="preserve"> 4 and 5 apply to the possible presence of the equal opportunities officer or another person.</w:t>
      </w:r>
    </w:p>
    <w:p w14:paraId="041EEDE8" w14:textId="2D364370" w:rsidR="00C522F3" w:rsidRDefault="00025479" w:rsidP="00030C5F">
      <w:pPr>
        <w:rPr>
          <w:rFonts w:cs="Arial"/>
        </w:rPr>
      </w:pPr>
      <w:r>
        <w:t xml:space="preserve">(5) If the </w:t>
      </w:r>
      <w:r w:rsidR="00C92D15">
        <w:t xml:space="preserve">final </w:t>
      </w:r>
      <w:r>
        <w:t xml:space="preserve">oral examination contains tasks that have to be prepared for, </w:t>
      </w:r>
      <w:r w:rsidR="00505704">
        <w:t>these must be worked out independently</w:t>
      </w:r>
      <w:r>
        <w:t>. Examination tasks that have to be prepared for must be submitted completely and in writing by the examiner to the respective chair of the examination committee. The chair of the examination committee assigns the task to the student. The dates of the assignments shall be put on record.</w:t>
      </w:r>
      <w:bookmarkStart w:id="39" w:name="_Toc157408906"/>
      <w:bookmarkStart w:id="40" w:name="_Toc321319998"/>
    </w:p>
    <w:p w14:paraId="667E7344" w14:textId="77777777" w:rsidR="00030C5F" w:rsidRPr="00030C5F" w:rsidRDefault="00030C5F" w:rsidP="00030C5F">
      <w:pPr>
        <w:rPr>
          <w:rFonts w:cs="Arial"/>
        </w:rPr>
      </w:pPr>
    </w:p>
    <w:p w14:paraId="1B4BE4EC" w14:textId="21A64E84" w:rsidR="000C672E" w:rsidRDefault="000C672E" w:rsidP="000C672E">
      <w:pPr>
        <w:pStyle w:val="berschrift1"/>
      </w:pPr>
      <w:bookmarkStart w:id="41" w:name="_Toc522804415"/>
      <w:r>
        <w:t>Section 17</w:t>
      </w:r>
      <w:r>
        <w:br/>
        <w:t>Assessment of Examinations and Graded Coursework, Determination of Overall Grade</w:t>
      </w:r>
      <w:bookmarkEnd w:id="41"/>
      <w:r>
        <w:t xml:space="preserve"> </w:t>
      </w:r>
      <w:bookmarkEnd w:id="39"/>
      <w:bookmarkEnd w:id="40"/>
    </w:p>
    <w:p w14:paraId="4999EBBB" w14:textId="144F58A6" w:rsidR="000C672E" w:rsidRDefault="000C672E" w:rsidP="000C672E">
      <w:pPr>
        <w:pStyle w:val="Textkrper"/>
        <w:spacing w:line="280" w:lineRule="exact"/>
        <w:rPr>
          <w:rFonts w:cs="Arial"/>
        </w:rPr>
      </w:pPr>
      <w:r>
        <w:t>(1) Coursework and examinations are considered to have been passed when they largely meet the requirements. The following grades are to be used when evaluating examinations and grading coursework: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0"/>
        <w:gridCol w:w="283"/>
        <w:gridCol w:w="1975"/>
        <w:gridCol w:w="420"/>
        <w:gridCol w:w="4924"/>
      </w:tblGrid>
      <w:tr w:rsidR="000C672E" w14:paraId="573197F5" w14:textId="77777777" w:rsidTr="00432569">
        <w:tc>
          <w:tcPr>
            <w:tcW w:w="1418" w:type="dxa"/>
          </w:tcPr>
          <w:p w14:paraId="30F52F0A" w14:textId="77777777" w:rsidR="000C672E" w:rsidRDefault="000C672E" w:rsidP="00432569">
            <w:pPr>
              <w:pStyle w:val="Textkrper"/>
              <w:spacing w:line="280" w:lineRule="exact"/>
              <w:rPr>
                <w:rFonts w:cs="Arial"/>
              </w:rPr>
            </w:pPr>
            <w:r>
              <w:t>1.0; 1.3</w:t>
            </w:r>
          </w:p>
        </w:tc>
        <w:tc>
          <w:tcPr>
            <w:tcW w:w="283" w:type="dxa"/>
          </w:tcPr>
          <w:p w14:paraId="491A5EC2" w14:textId="77777777" w:rsidR="000C672E" w:rsidRDefault="000C672E" w:rsidP="00432569">
            <w:pPr>
              <w:pStyle w:val="Textkrper"/>
              <w:spacing w:line="280" w:lineRule="exact"/>
              <w:rPr>
                <w:rFonts w:cs="Arial"/>
              </w:rPr>
            </w:pPr>
            <w:r>
              <w:t>=</w:t>
            </w:r>
          </w:p>
        </w:tc>
        <w:tc>
          <w:tcPr>
            <w:tcW w:w="1985" w:type="dxa"/>
          </w:tcPr>
          <w:p w14:paraId="13B2274C" w14:textId="77777777" w:rsidR="000C672E" w:rsidRDefault="000C672E" w:rsidP="00432569">
            <w:pPr>
              <w:pStyle w:val="Textkrper"/>
              <w:spacing w:line="280" w:lineRule="exact"/>
              <w:rPr>
                <w:rFonts w:cs="Arial"/>
              </w:rPr>
            </w:pPr>
            <w:r>
              <w:t>very good ("sehr gut")</w:t>
            </w:r>
          </w:p>
        </w:tc>
        <w:tc>
          <w:tcPr>
            <w:tcW w:w="425" w:type="dxa"/>
          </w:tcPr>
          <w:p w14:paraId="349A5AE3" w14:textId="77777777" w:rsidR="000C672E" w:rsidRDefault="000C672E" w:rsidP="00432569">
            <w:pPr>
              <w:pStyle w:val="Textkrper"/>
              <w:spacing w:line="280" w:lineRule="exact"/>
              <w:rPr>
                <w:rFonts w:cs="Arial"/>
              </w:rPr>
            </w:pPr>
            <w:r>
              <w:t>=</w:t>
            </w:r>
          </w:p>
        </w:tc>
        <w:tc>
          <w:tcPr>
            <w:tcW w:w="5031" w:type="dxa"/>
          </w:tcPr>
          <w:p w14:paraId="209D8CDC" w14:textId="77777777" w:rsidR="000C672E" w:rsidRDefault="000C672E" w:rsidP="00432569">
            <w:pPr>
              <w:pStyle w:val="Textkrper"/>
              <w:spacing w:line="280" w:lineRule="exact"/>
              <w:jc w:val="left"/>
              <w:rPr>
                <w:rFonts w:cs="Arial"/>
              </w:rPr>
            </w:pPr>
            <w:r>
              <w:t>an excellent performance</w:t>
            </w:r>
          </w:p>
        </w:tc>
      </w:tr>
      <w:tr w:rsidR="000C672E" w14:paraId="4E940357" w14:textId="77777777" w:rsidTr="00432569">
        <w:tc>
          <w:tcPr>
            <w:tcW w:w="1418" w:type="dxa"/>
          </w:tcPr>
          <w:p w14:paraId="249F6926" w14:textId="77777777" w:rsidR="000C672E" w:rsidRDefault="000C672E" w:rsidP="00432569">
            <w:pPr>
              <w:pStyle w:val="Textkrper"/>
              <w:spacing w:line="280" w:lineRule="exact"/>
              <w:rPr>
                <w:rFonts w:cs="Arial"/>
              </w:rPr>
            </w:pPr>
            <w:r>
              <w:t>1.7; 2.0; 2.3</w:t>
            </w:r>
          </w:p>
        </w:tc>
        <w:tc>
          <w:tcPr>
            <w:tcW w:w="283" w:type="dxa"/>
          </w:tcPr>
          <w:p w14:paraId="129193CD" w14:textId="77777777" w:rsidR="000C672E" w:rsidRDefault="000C672E" w:rsidP="00432569">
            <w:pPr>
              <w:pStyle w:val="Textkrper"/>
              <w:spacing w:line="280" w:lineRule="exact"/>
              <w:rPr>
                <w:rFonts w:cs="Arial"/>
              </w:rPr>
            </w:pPr>
            <w:r>
              <w:t>=</w:t>
            </w:r>
          </w:p>
        </w:tc>
        <w:tc>
          <w:tcPr>
            <w:tcW w:w="1985" w:type="dxa"/>
          </w:tcPr>
          <w:p w14:paraId="75DFCD67" w14:textId="77777777" w:rsidR="000C672E" w:rsidRDefault="000C672E" w:rsidP="00432569">
            <w:pPr>
              <w:pStyle w:val="Textkrper"/>
              <w:spacing w:line="280" w:lineRule="exact"/>
              <w:rPr>
                <w:rFonts w:cs="Arial"/>
              </w:rPr>
            </w:pPr>
            <w:r>
              <w:t>good ("gut")</w:t>
            </w:r>
          </w:p>
        </w:tc>
        <w:tc>
          <w:tcPr>
            <w:tcW w:w="425" w:type="dxa"/>
          </w:tcPr>
          <w:p w14:paraId="25D7CF85" w14:textId="77777777" w:rsidR="000C672E" w:rsidRDefault="000C672E" w:rsidP="00432569">
            <w:pPr>
              <w:pStyle w:val="Textkrper"/>
              <w:spacing w:line="280" w:lineRule="exact"/>
              <w:rPr>
                <w:rFonts w:cs="Arial"/>
              </w:rPr>
            </w:pPr>
            <w:r>
              <w:t>=</w:t>
            </w:r>
          </w:p>
        </w:tc>
        <w:tc>
          <w:tcPr>
            <w:tcW w:w="5031" w:type="dxa"/>
          </w:tcPr>
          <w:p w14:paraId="6340F8C2" w14:textId="77777777" w:rsidR="000C672E" w:rsidRDefault="000C672E" w:rsidP="00432569">
            <w:pPr>
              <w:pStyle w:val="Textkrper"/>
              <w:spacing w:line="280" w:lineRule="exact"/>
              <w:jc w:val="left"/>
              <w:rPr>
                <w:rFonts w:cs="Arial"/>
              </w:rPr>
            </w:pPr>
            <w:r>
              <w:t>a performance which substantially exceeds the average requirements</w:t>
            </w:r>
          </w:p>
        </w:tc>
      </w:tr>
      <w:tr w:rsidR="000C672E" w14:paraId="2942FA72" w14:textId="77777777" w:rsidTr="00432569">
        <w:tc>
          <w:tcPr>
            <w:tcW w:w="1418" w:type="dxa"/>
          </w:tcPr>
          <w:p w14:paraId="1F510AC8" w14:textId="77777777" w:rsidR="000C672E" w:rsidRDefault="000C672E" w:rsidP="00432569">
            <w:pPr>
              <w:pStyle w:val="Textkrper"/>
              <w:spacing w:line="280" w:lineRule="exact"/>
              <w:rPr>
                <w:rFonts w:cs="Arial"/>
              </w:rPr>
            </w:pPr>
            <w:r>
              <w:t>2.7; 3.0; 3.3</w:t>
            </w:r>
          </w:p>
        </w:tc>
        <w:tc>
          <w:tcPr>
            <w:tcW w:w="283" w:type="dxa"/>
          </w:tcPr>
          <w:p w14:paraId="03175CE6" w14:textId="77777777" w:rsidR="000C672E" w:rsidRDefault="000C672E" w:rsidP="00432569">
            <w:pPr>
              <w:pStyle w:val="Textkrper"/>
              <w:spacing w:line="280" w:lineRule="exact"/>
              <w:rPr>
                <w:rFonts w:cs="Arial"/>
              </w:rPr>
            </w:pPr>
            <w:r>
              <w:t>=</w:t>
            </w:r>
          </w:p>
        </w:tc>
        <w:tc>
          <w:tcPr>
            <w:tcW w:w="1985" w:type="dxa"/>
          </w:tcPr>
          <w:p w14:paraId="3253868C" w14:textId="77777777" w:rsidR="000C672E" w:rsidRDefault="000C672E" w:rsidP="00432569">
            <w:pPr>
              <w:pStyle w:val="Textkrper"/>
              <w:spacing w:line="280" w:lineRule="exact"/>
              <w:rPr>
                <w:rFonts w:cs="Arial"/>
              </w:rPr>
            </w:pPr>
            <w:r>
              <w:t>satisfactory ("befriedigend")</w:t>
            </w:r>
          </w:p>
        </w:tc>
        <w:tc>
          <w:tcPr>
            <w:tcW w:w="425" w:type="dxa"/>
          </w:tcPr>
          <w:p w14:paraId="495D7C08" w14:textId="77777777" w:rsidR="000C672E" w:rsidRDefault="000C672E" w:rsidP="00432569">
            <w:pPr>
              <w:pStyle w:val="Textkrper"/>
              <w:spacing w:line="280" w:lineRule="exact"/>
              <w:rPr>
                <w:rFonts w:cs="Arial"/>
              </w:rPr>
            </w:pPr>
            <w:r>
              <w:t>=</w:t>
            </w:r>
          </w:p>
        </w:tc>
        <w:tc>
          <w:tcPr>
            <w:tcW w:w="5031" w:type="dxa"/>
          </w:tcPr>
          <w:p w14:paraId="226C2137" w14:textId="77777777" w:rsidR="000C672E" w:rsidRDefault="000C672E" w:rsidP="00432569">
            <w:pPr>
              <w:pStyle w:val="Textkrper"/>
              <w:spacing w:line="280" w:lineRule="exact"/>
              <w:jc w:val="left"/>
              <w:rPr>
                <w:rFonts w:cs="Arial"/>
              </w:rPr>
            </w:pPr>
            <w:r>
              <w:t>a performance corresponding to the average requirements</w:t>
            </w:r>
          </w:p>
        </w:tc>
      </w:tr>
      <w:tr w:rsidR="000C672E" w14:paraId="20DC7A63" w14:textId="77777777" w:rsidTr="00432569">
        <w:tc>
          <w:tcPr>
            <w:tcW w:w="1418" w:type="dxa"/>
          </w:tcPr>
          <w:p w14:paraId="098EBB7D" w14:textId="77777777" w:rsidR="000C672E" w:rsidRDefault="000C672E" w:rsidP="00432569">
            <w:pPr>
              <w:pStyle w:val="Textkrper"/>
              <w:spacing w:line="280" w:lineRule="exact"/>
              <w:rPr>
                <w:rFonts w:cs="Arial"/>
              </w:rPr>
            </w:pPr>
            <w:r>
              <w:t>3.7; 4.0</w:t>
            </w:r>
          </w:p>
        </w:tc>
        <w:tc>
          <w:tcPr>
            <w:tcW w:w="283" w:type="dxa"/>
          </w:tcPr>
          <w:p w14:paraId="43BB563E" w14:textId="77777777" w:rsidR="000C672E" w:rsidRDefault="000C672E" w:rsidP="00432569">
            <w:pPr>
              <w:pStyle w:val="Textkrper"/>
              <w:spacing w:line="280" w:lineRule="exact"/>
              <w:rPr>
                <w:rFonts w:cs="Arial"/>
              </w:rPr>
            </w:pPr>
            <w:r>
              <w:t>=</w:t>
            </w:r>
          </w:p>
        </w:tc>
        <w:tc>
          <w:tcPr>
            <w:tcW w:w="1985" w:type="dxa"/>
          </w:tcPr>
          <w:p w14:paraId="04E86C55" w14:textId="47AD1E2E" w:rsidR="000C672E" w:rsidRDefault="002B001E" w:rsidP="00432569">
            <w:pPr>
              <w:pStyle w:val="Textkrper"/>
              <w:spacing w:line="280" w:lineRule="exact"/>
              <w:rPr>
                <w:rFonts w:cs="Arial"/>
              </w:rPr>
            </w:pPr>
            <w:r>
              <w:t xml:space="preserve">sufficient </w:t>
            </w:r>
            <w:r w:rsidR="000C672E">
              <w:t>("ausreichend")</w:t>
            </w:r>
          </w:p>
        </w:tc>
        <w:tc>
          <w:tcPr>
            <w:tcW w:w="425" w:type="dxa"/>
          </w:tcPr>
          <w:p w14:paraId="6390AA41" w14:textId="77777777" w:rsidR="000C672E" w:rsidRDefault="000C672E" w:rsidP="00432569">
            <w:pPr>
              <w:pStyle w:val="Textkrper"/>
              <w:spacing w:line="280" w:lineRule="exact"/>
              <w:rPr>
                <w:rFonts w:cs="Arial"/>
              </w:rPr>
            </w:pPr>
            <w:r>
              <w:t>=</w:t>
            </w:r>
          </w:p>
        </w:tc>
        <w:tc>
          <w:tcPr>
            <w:tcW w:w="5031" w:type="dxa"/>
          </w:tcPr>
          <w:p w14:paraId="3FE0745A" w14:textId="77777777" w:rsidR="000C672E" w:rsidRDefault="000C672E" w:rsidP="00432569">
            <w:pPr>
              <w:pStyle w:val="Textkrper"/>
              <w:spacing w:line="280" w:lineRule="exact"/>
              <w:jc w:val="left"/>
              <w:rPr>
                <w:rFonts w:cs="Arial"/>
              </w:rPr>
            </w:pPr>
            <w:r>
              <w:t>a performance which, in spite of its flaws, suffices to meet the requirements</w:t>
            </w:r>
          </w:p>
        </w:tc>
      </w:tr>
      <w:tr w:rsidR="000C672E" w14:paraId="63EDCF50" w14:textId="77777777" w:rsidTr="00432569">
        <w:tc>
          <w:tcPr>
            <w:tcW w:w="1418" w:type="dxa"/>
          </w:tcPr>
          <w:p w14:paraId="454FEBB3" w14:textId="77777777" w:rsidR="000C672E" w:rsidRDefault="000C672E" w:rsidP="00432569">
            <w:pPr>
              <w:pStyle w:val="Textkrper"/>
              <w:spacing w:line="280" w:lineRule="exact"/>
              <w:rPr>
                <w:rFonts w:cs="Arial"/>
              </w:rPr>
            </w:pPr>
            <w:r>
              <w:t>5.0</w:t>
            </w:r>
          </w:p>
        </w:tc>
        <w:tc>
          <w:tcPr>
            <w:tcW w:w="283" w:type="dxa"/>
          </w:tcPr>
          <w:p w14:paraId="261213A9" w14:textId="77777777" w:rsidR="000C672E" w:rsidRDefault="000C672E" w:rsidP="00432569">
            <w:pPr>
              <w:pStyle w:val="Textkrper"/>
              <w:spacing w:line="280" w:lineRule="exact"/>
              <w:rPr>
                <w:rFonts w:cs="Arial"/>
              </w:rPr>
            </w:pPr>
            <w:r>
              <w:t>=</w:t>
            </w:r>
          </w:p>
        </w:tc>
        <w:tc>
          <w:tcPr>
            <w:tcW w:w="1985" w:type="dxa"/>
          </w:tcPr>
          <w:p w14:paraId="1E8907DF" w14:textId="77777777" w:rsidR="000C672E" w:rsidRDefault="000C672E" w:rsidP="00432569">
            <w:pPr>
              <w:pStyle w:val="Textkrper"/>
              <w:spacing w:line="280" w:lineRule="exact"/>
              <w:rPr>
                <w:rFonts w:cs="Arial"/>
              </w:rPr>
            </w:pPr>
            <w:r>
              <w:t>failed ("nicht ausreichend")</w:t>
            </w:r>
          </w:p>
        </w:tc>
        <w:tc>
          <w:tcPr>
            <w:tcW w:w="425" w:type="dxa"/>
          </w:tcPr>
          <w:p w14:paraId="09FFC8D0" w14:textId="77777777" w:rsidR="000C672E" w:rsidRDefault="000C672E" w:rsidP="00432569">
            <w:pPr>
              <w:pStyle w:val="Textkrper"/>
              <w:spacing w:line="280" w:lineRule="exact"/>
              <w:rPr>
                <w:rFonts w:cs="Arial"/>
              </w:rPr>
            </w:pPr>
            <w:r>
              <w:t>=</w:t>
            </w:r>
          </w:p>
        </w:tc>
        <w:tc>
          <w:tcPr>
            <w:tcW w:w="5031" w:type="dxa"/>
          </w:tcPr>
          <w:p w14:paraId="34C77C06" w14:textId="77777777" w:rsidR="000C672E" w:rsidRDefault="000C672E" w:rsidP="00432569">
            <w:pPr>
              <w:pStyle w:val="Textkrper"/>
              <w:spacing w:line="280" w:lineRule="exact"/>
              <w:jc w:val="left"/>
              <w:rPr>
                <w:rFonts w:cs="Arial"/>
              </w:rPr>
            </w:pPr>
            <w:r>
              <w:t>a performance which does not meet the requirements due to considerable flaws.</w:t>
            </w:r>
          </w:p>
        </w:tc>
      </w:tr>
    </w:tbl>
    <w:p w14:paraId="353727CD" w14:textId="77777777" w:rsidR="000C672E" w:rsidRDefault="000C672E" w:rsidP="000C672E">
      <w:pPr>
        <w:pStyle w:val="Textkrper"/>
        <w:spacing w:line="280" w:lineRule="exact"/>
        <w:rPr>
          <w:rFonts w:cs="Arial"/>
        </w:rPr>
      </w:pPr>
    </w:p>
    <w:p w14:paraId="1FFEA0FE" w14:textId="4173F0B2" w:rsidR="000C672E" w:rsidRDefault="000C672E" w:rsidP="000C672E">
      <w:pPr>
        <w:rPr>
          <w:rFonts w:cs="Arial"/>
        </w:rPr>
      </w:pPr>
      <w:r>
        <w:t xml:space="preserve">(2) If the module examination consists of one examination, the grade of the module is the grade of the module examination. If the module examination consists of multiple graded exams (partial module examinations), every exam must be passed. The module grade is an average of all partial examinations weighted according to the number of credits each examination is worth. The grades for each partial module examination are to be multiplied by the number of credits each one is worth, the results are to be added together, and the total is to be divided by the total number of credits. The attachment may also specify a grading system that uses the mathematical mean of the individual examinations and coursework or, in individual cases, provide another form of calculating the grade. </w:t>
      </w:r>
    </w:p>
    <w:p w14:paraId="0152E605" w14:textId="0755482F" w:rsidR="000C672E" w:rsidRDefault="000C672E" w:rsidP="000C672E">
      <w:pPr>
        <w:pStyle w:val="Textkrper"/>
        <w:spacing w:line="280" w:lineRule="exact"/>
        <w:rPr>
          <w:rFonts w:cs="Arial"/>
        </w:rPr>
      </w:pPr>
      <w:r>
        <w:lastRenderedPageBreak/>
        <w:t xml:space="preserve">(3) If an examination is graded by multiple examiners or the grade is calculated according to </w:t>
      </w:r>
      <w:r w:rsidR="004E444C">
        <w:t>para.</w:t>
      </w:r>
      <w:r>
        <w:t xml:space="preserve"> 2 </w:t>
      </w:r>
      <w:r w:rsidR="004E444C">
        <w:t>clause</w:t>
      </w:r>
      <w:r>
        <w:t>s 2 and 3, the grade is as follows:</w:t>
      </w:r>
    </w:p>
    <w:p w14:paraId="644F0184" w14:textId="5CCD1330" w:rsidR="000C672E" w:rsidRDefault="000C672E" w:rsidP="000C672E">
      <w:pPr>
        <w:tabs>
          <w:tab w:val="left" w:pos="2700"/>
          <w:tab w:val="left" w:pos="5760"/>
          <w:tab w:val="left" w:pos="6120"/>
        </w:tabs>
        <w:rPr>
          <w:rFonts w:cs="Arial"/>
        </w:rPr>
      </w:pPr>
      <w:r>
        <w:t xml:space="preserve">"very good" ("sehr gut") for an average of </w:t>
      </w:r>
      <w:r w:rsidR="002B001E">
        <w:t>up to and including 1.5</w:t>
      </w:r>
      <w:r>
        <w:t xml:space="preserve">; </w:t>
      </w:r>
    </w:p>
    <w:p w14:paraId="45FA0B88" w14:textId="678C7B81" w:rsidR="000C672E" w:rsidRDefault="000C672E" w:rsidP="000C672E">
      <w:pPr>
        <w:tabs>
          <w:tab w:val="left" w:pos="2700"/>
          <w:tab w:val="left" w:pos="5760"/>
          <w:tab w:val="left" w:pos="6120"/>
        </w:tabs>
        <w:rPr>
          <w:rFonts w:cs="Arial"/>
        </w:rPr>
      </w:pPr>
      <w:r>
        <w:t>"good"</w:t>
      </w:r>
      <w:r w:rsidR="002B001E">
        <w:t xml:space="preserve"> ("gut") for an average </w:t>
      </w:r>
      <w:r w:rsidR="00505704">
        <w:t xml:space="preserve">above </w:t>
      </w:r>
      <w:r w:rsidR="002B001E">
        <w:t>1.</w:t>
      </w:r>
      <w:r w:rsidR="00505704">
        <w:t>5</w:t>
      </w:r>
      <w:r w:rsidR="002B001E">
        <w:t xml:space="preserve"> and up to/including</w:t>
      </w:r>
      <w:r>
        <w:t xml:space="preserve"> 2.5; </w:t>
      </w:r>
    </w:p>
    <w:p w14:paraId="249938E6" w14:textId="0A909CF9" w:rsidR="000C672E" w:rsidRDefault="000C672E" w:rsidP="000C672E">
      <w:pPr>
        <w:pStyle w:val="einzug"/>
        <w:tabs>
          <w:tab w:val="left" w:pos="2700"/>
          <w:tab w:val="left" w:pos="5760"/>
          <w:tab w:val="left" w:pos="6120"/>
        </w:tabs>
        <w:spacing w:after="120" w:line="280" w:lineRule="exact"/>
        <w:rPr>
          <w:rFonts w:cs="Arial"/>
        </w:rPr>
      </w:pPr>
      <w:r>
        <w:t xml:space="preserve">"satisfactory" ("befriedigend") for an average </w:t>
      </w:r>
      <w:r w:rsidR="00505704">
        <w:t xml:space="preserve">above </w:t>
      </w:r>
      <w:r>
        <w:t>2.</w:t>
      </w:r>
      <w:r w:rsidR="00505704">
        <w:t>5</w:t>
      </w:r>
      <w:r>
        <w:t xml:space="preserve"> </w:t>
      </w:r>
      <w:r w:rsidR="002B001E">
        <w:t xml:space="preserve">and up </w:t>
      </w:r>
      <w:r>
        <w:t>to</w:t>
      </w:r>
      <w:r w:rsidR="002B001E">
        <w:t>/including</w:t>
      </w:r>
      <w:r>
        <w:t xml:space="preserve"> 3.5; </w:t>
      </w:r>
    </w:p>
    <w:p w14:paraId="252896E3" w14:textId="5CD1A67E" w:rsidR="000C672E" w:rsidRDefault="000C672E" w:rsidP="000C672E">
      <w:pPr>
        <w:tabs>
          <w:tab w:val="left" w:pos="2700"/>
          <w:tab w:val="left" w:pos="5760"/>
          <w:tab w:val="left" w:pos="6120"/>
        </w:tabs>
        <w:rPr>
          <w:rFonts w:cs="Arial"/>
        </w:rPr>
      </w:pPr>
      <w:r>
        <w:t>"</w:t>
      </w:r>
      <w:r w:rsidR="007A05FD">
        <w:t xml:space="preserve">sufficient </w:t>
      </w:r>
      <w:r>
        <w:t xml:space="preserve">" ("ausreichend") for an average </w:t>
      </w:r>
      <w:r w:rsidR="00505704">
        <w:t xml:space="preserve">above </w:t>
      </w:r>
      <w:r>
        <w:t>3.</w:t>
      </w:r>
      <w:r w:rsidR="00505704">
        <w:t>5</w:t>
      </w:r>
      <w:r>
        <w:t xml:space="preserve"> </w:t>
      </w:r>
      <w:r w:rsidR="002B001E">
        <w:t xml:space="preserve">and up </w:t>
      </w:r>
      <w:r>
        <w:t>to</w:t>
      </w:r>
      <w:r w:rsidR="002B001E">
        <w:t>/including</w:t>
      </w:r>
      <w:r>
        <w:t xml:space="preserve"> 4.0. </w:t>
      </w:r>
    </w:p>
    <w:p w14:paraId="2131594F" w14:textId="309EBACA" w:rsidR="000C672E" w:rsidRDefault="000C672E" w:rsidP="000C672E">
      <w:pPr>
        <w:tabs>
          <w:tab w:val="left" w:pos="2700"/>
          <w:tab w:val="left" w:pos="5760"/>
          <w:tab w:val="left" w:pos="6120"/>
        </w:tabs>
        <w:rPr>
          <w:rFonts w:cs="Arial"/>
        </w:rPr>
      </w:pPr>
      <w:r>
        <w:t xml:space="preserve">“failed” (“nicht ausreichend”) for an average </w:t>
      </w:r>
      <w:r w:rsidR="00505704">
        <w:t xml:space="preserve">above </w:t>
      </w:r>
      <w:r>
        <w:t>4.</w:t>
      </w:r>
      <w:r w:rsidR="00505704">
        <w:t>0</w:t>
      </w:r>
      <w:r>
        <w:t xml:space="preserve"> or more.</w:t>
      </w:r>
    </w:p>
    <w:p w14:paraId="7D3BF32D" w14:textId="77777777" w:rsidR="000C672E" w:rsidRDefault="000C672E" w:rsidP="000C672E">
      <w:pPr>
        <w:rPr>
          <w:rFonts w:cs="Arial"/>
        </w:rPr>
      </w:pPr>
      <w:r>
        <w:t xml:space="preserve">When calculating the module grade, only the first decimal place is taken into consideration; all other decimal places are eliminated without rounding. </w:t>
      </w:r>
    </w:p>
    <w:p w14:paraId="7FED107C" w14:textId="59061467" w:rsidR="000C672E" w:rsidRDefault="000C672E" w:rsidP="000C672E">
      <w:pPr>
        <w:pStyle w:val="Textkrper"/>
        <w:spacing w:line="280" w:lineRule="exact"/>
        <w:rPr>
          <w:rFonts w:cs="Arial"/>
        </w:rPr>
      </w:pPr>
      <w:r>
        <w:t xml:space="preserve">(4) When calculating the overall grade of the master's examination, the module grades according to </w:t>
      </w:r>
      <w:r w:rsidR="002B001E">
        <w:t>para.</w:t>
      </w:r>
      <w:r>
        <w:t xml:space="preserve"> 2 and 3, the grade for the master's thesis, and the grade for the </w:t>
      </w:r>
      <w:r w:rsidR="00C92D15">
        <w:t xml:space="preserve">final </w:t>
      </w:r>
      <w:r>
        <w:t xml:space="preserve">oral examination are multiplied by their respective credits, then added and divided by the total number of credits. </w:t>
      </w:r>
      <w:r w:rsidR="004E444C">
        <w:t>Para.</w:t>
      </w:r>
      <w:r>
        <w:t xml:space="preserve"> 3 applies. The ungraded modules </w:t>
      </w:r>
      <w:r>
        <w:rPr>
          <w:color w:val="FF0000"/>
        </w:rPr>
        <w:t>[(XY)]</w:t>
      </w:r>
      <w:r>
        <w:t xml:space="preserve"> that do not affect the overall grade will not be considered in the calculation. </w:t>
      </w:r>
    </w:p>
    <w:p w14:paraId="449E7117" w14:textId="0234AA6B" w:rsidR="000C672E" w:rsidRPr="002A77B7" w:rsidRDefault="000C672E" w:rsidP="000C672E">
      <w:pPr>
        <w:rPr>
          <w:rFonts w:cs="Arial"/>
          <w:color w:val="FF0000"/>
          <w:highlight w:val="lightGray"/>
        </w:rPr>
      </w:pPr>
      <w:r>
        <w:rPr>
          <w:color w:val="FF0000"/>
          <w:highlight w:val="lightGray"/>
        </w:rPr>
        <w:t xml:space="preserve">[optional: (5) The attachment may specify that individual graded modules from the first year of studies are not to be included when calculating the overall grade using the process in </w:t>
      </w:r>
      <w:r w:rsidR="004E444C">
        <w:rPr>
          <w:color w:val="FF0000"/>
          <w:highlight w:val="lightGray"/>
        </w:rPr>
        <w:t>para.</w:t>
      </w:r>
      <w:r w:rsidR="007A05FD">
        <w:rPr>
          <w:color w:val="FF0000"/>
          <w:highlight w:val="lightGray"/>
        </w:rPr>
        <w:t xml:space="preserve"> 4. These</w:t>
      </w:r>
      <w:r w:rsidR="00505704">
        <w:rPr>
          <w:color w:val="FF0000"/>
          <w:highlight w:val="lightGray"/>
        </w:rPr>
        <w:t xml:space="preserve"> excluded</w:t>
      </w:r>
      <w:commentRangeStart w:id="42"/>
      <w:commentRangeEnd w:id="42"/>
      <w:r w:rsidR="00505704">
        <w:rPr>
          <w:color w:val="FF0000"/>
        </w:rPr>
        <w:t xml:space="preserve"> </w:t>
      </w:r>
      <w:r>
        <w:rPr>
          <w:color w:val="FF0000"/>
          <w:highlight w:val="lightGray"/>
        </w:rPr>
        <w:t>examinations may not exceed a total of 12 credits.]</w:t>
      </w:r>
    </w:p>
    <w:p w14:paraId="0D654591" w14:textId="75CB943F" w:rsidR="000C672E" w:rsidRPr="00815C41" w:rsidRDefault="000C672E" w:rsidP="000C672E">
      <w:pPr>
        <w:rPr>
          <w:rFonts w:cs="Arial"/>
          <w:color w:val="FF0000"/>
        </w:rPr>
      </w:pPr>
      <w:r>
        <w:rPr>
          <w:color w:val="FF0000"/>
          <w:highlight w:val="lightGray"/>
        </w:rPr>
        <w:t xml:space="preserve">[optional: (6) If individual subjects require participation in general studies modules, the attachment may specify that these modules are not be counted towards the overall grade (see </w:t>
      </w:r>
      <w:r w:rsidR="004E444C">
        <w:rPr>
          <w:color w:val="FF0000"/>
          <w:highlight w:val="lightGray"/>
        </w:rPr>
        <w:t>para.</w:t>
      </w:r>
      <w:r>
        <w:rPr>
          <w:color w:val="FF0000"/>
          <w:highlight w:val="lightGray"/>
        </w:rPr>
        <w:t xml:space="preserve"> 5).]</w:t>
      </w:r>
    </w:p>
    <w:p w14:paraId="012A86B9" w14:textId="77777777" w:rsidR="000C672E" w:rsidRDefault="000C672E" w:rsidP="000C672E">
      <w:pPr>
        <w:pStyle w:val="Textkrper"/>
        <w:spacing w:line="280" w:lineRule="exact"/>
        <w:rPr>
          <w:rFonts w:cs="Arial"/>
        </w:rPr>
      </w:pPr>
    </w:p>
    <w:p w14:paraId="577F1FC7" w14:textId="4E3C4949" w:rsidR="000C672E" w:rsidRDefault="000C672E" w:rsidP="000C672E">
      <w:pPr>
        <w:pStyle w:val="berschrift1"/>
      </w:pPr>
      <w:bookmarkStart w:id="43" w:name="_Toc522804416"/>
      <w:bookmarkStart w:id="44" w:name="_Toc321319999"/>
      <w:r>
        <w:t>Section 18</w:t>
      </w:r>
      <w:r>
        <w:br/>
        <w:t>Passing and Failing, Re</w:t>
      </w:r>
      <w:r w:rsidR="00505704">
        <w:t>peating</w:t>
      </w:r>
      <w:r>
        <w:t xml:space="preserve"> Examinations</w:t>
      </w:r>
      <w:bookmarkEnd w:id="43"/>
      <w:r>
        <w:t xml:space="preserve"> </w:t>
      </w:r>
      <w:bookmarkEnd w:id="44"/>
    </w:p>
    <w:p w14:paraId="42F2F474" w14:textId="3A1F87FD" w:rsidR="000C672E" w:rsidRPr="000C672E" w:rsidRDefault="000C672E" w:rsidP="000C672E">
      <w:pPr>
        <w:rPr>
          <w:rFonts w:cs="Arial"/>
        </w:rPr>
      </w:pPr>
      <w:r>
        <w:t>(1) A module examination is passed if the coursework of the module according to the attachment is completed and the final module examination has been graded as “passed</w:t>
      </w:r>
      <w:r w:rsidR="007A05FD">
        <w:t>” or with at least a “sufficient</w:t>
      </w:r>
      <w:r>
        <w:t>” (4.0). If the module examination consists of multiple graded exams (partial module examinations), every exam must be passed.</w:t>
      </w:r>
    </w:p>
    <w:p w14:paraId="7D98DF4D" w14:textId="6F0959C4" w:rsidR="000C672E" w:rsidRDefault="000C672E" w:rsidP="000C672E">
      <w:pPr>
        <w:rPr>
          <w:rFonts w:cs="Arial"/>
        </w:rPr>
      </w:pPr>
      <w:r>
        <w:t xml:space="preserve">(2) The master’s examination has been passed once the module examinations (as specified in section 11) for the modules (as specified in section 6 </w:t>
      </w:r>
      <w:r w:rsidR="004E444C">
        <w:t>para.</w:t>
      </w:r>
      <w:r>
        <w:t xml:space="preserve"> 2 </w:t>
      </w:r>
      <w:r w:rsidR="004E444C">
        <w:t>clause</w:t>
      </w:r>
      <w:r>
        <w:t xml:space="preserve"> 1 no. 1 and 2) have been passed, </w:t>
      </w:r>
      <w:r>
        <w:rPr>
          <w:color w:val="FF0000"/>
          <w:highlight w:val="lightGray"/>
        </w:rPr>
        <w:t>[optional: and the internship has been successfully completed,]</w:t>
      </w:r>
      <w:r>
        <w:t xml:space="preserve"> and the master’s thesis and </w:t>
      </w:r>
      <w:r w:rsidR="00C92D15">
        <w:t xml:space="preserve">final </w:t>
      </w:r>
      <w:r>
        <w:t>oral examination have both received a grade of at least “</w:t>
      </w:r>
      <w:r w:rsidR="00773A8D">
        <w:t>sufficient</w:t>
      </w:r>
      <w:r>
        <w:t xml:space="preserve">” (4.0). </w:t>
      </w:r>
    </w:p>
    <w:p w14:paraId="6CBB9304" w14:textId="1259F072" w:rsidR="000C672E" w:rsidRDefault="000C672E" w:rsidP="000C672E">
      <w:pPr>
        <w:pStyle w:val="Textkrper"/>
        <w:spacing w:line="280" w:lineRule="exact"/>
        <w:rPr>
          <w:rFonts w:cs="Arial"/>
        </w:rPr>
      </w:pPr>
      <w:r>
        <w:t xml:space="preserve">(3) Failed mandatory module examinations and elective module examinations can be </w:t>
      </w:r>
      <w:r w:rsidR="003D1B56">
        <w:t>repeated</w:t>
      </w:r>
      <w:r>
        <w:t xml:space="preserve"> twice. A failed mandatory module examination </w:t>
      </w:r>
      <w:r>
        <w:rPr>
          <w:color w:val="FF0000"/>
          <w:highlight w:val="lightGray"/>
        </w:rPr>
        <w:t>[optional] or elective module examination</w:t>
      </w:r>
      <w:r>
        <w:t xml:space="preserve"> cannot be replaced with another examination. For partial module examinations, only the partial examinations which were failed are to be </w:t>
      </w:r>
      <w:r w:rsidR="003D1B56">
        <w:t>repeated</w:t>
      </w:r>
      <w:r>
        <w:t xml:space="preserve">. </w:t>
      </w:r>
      <w:r>
        <w:rPr>
          <w:color w:val="FF0000"/>
          <w:highlight w:val="lightGray"/>
        </w:rPr>
        <w:t>[optional] Students can change elective modules twice during their degree after failing the elective module examination for the first, second, or final time. The student receives another three attempts to pass the new elective module examination. It is not possible to switch back. If the student changes modules and then passes the examination, the failed module examination will not be included on the diploma certificate. All other regulations according to section 18 about passing, failing, and retaking exams remain unaffected.</w:t>
      </w:r>
      <w:r>
        <w:t xml:space="preserve"> It is not possible to retake an examination or coursework that has already been passed.</w:t>
      </w:r>
    </w:p>
    <w:p w14:paraId="7303FF01" w14:textId="11A2B363" w:rsidR="000C672E" w:rsidRDefault="000C672E" w:rsidP="000C672E">
      <w:pPr>
        <w:rPr>
          <w:rFonts w:cs="Arial"/>
        </w:rPr>
      </w:pPr>
      <w:r>
        <w:t xml:space="preserve">(4) Failed examinations or coursework in the same </w:t>
      </w:r>
      <w:r w:rsidR="00B57370">
        <w:t>master’s degree program</w:t>
      </w:r>
      <w:r>
        <w:t xml:space="preserve"> at another higher education institution in Germany are to be deducted from the number of attempts students </w:t>
      </w:r>
      <w:r>
        <w:lastRenderedPageBreak/>
        <w:t xml:space="preserve">have left to complete the new module. The same applies to failed examinations and coursework in modules of another </w:t>
      </w:r>
      <w:r w:rsidR="00B57370">
        <w:t>degree program</w:t>
      </w:r>
      <w:r>
        <w:t xml:space="preserve"> at a higher education institution in Germany that are comparable to those of the </w:t>
      </w:r>
      <w:r w:rsidR="00B57370">
        <w:t>master’s degree program</w:t>
      </w:r>
      <w:r>
        <w:t xml:space="preserve"> </w:t>
      </w:r>
      <w:r>
        <w:rPr>
          <w:color w:val="FF0000"/>
        </w:rPr>
        <w:t>▀</w:t>
      </w:r>
      <w:r>
        <w:t xml:space="preserve">, if the requirements for passing are equal or lower.  </w:t>
      </w:r>
    </w:p>
    <w:p w14:paraId="7B5AC19F" w14:textId="7B25E2FC" w:rsidR="000C672E" w:rsidRDefault="007A05FD" w:rsidP="000C672E">
      <w:pPr>
        <w:rPr>
          <w:rFonts w:cs="Arial"/>
        </w:rPr>
      </w:pPr>
      <w:r>
        <w:t>(5) Registration for retaking a</w:t>
      </w:r>
      <w:r w:rsidR="000C672E">
        <w:t xml:space="preserve"> module exam or partial module exam should be done within six months of the failed exam; registration for a second re-examination should be done within six months of the first re-examination. In justified individual cases, extensions may be granted; these may not exceed two years for the first and second re-examinations combined. If a re-examin</w:t>
      </w:r>
      <w:r w:rsidR="00BC431B">
        <w:t>ation is not registered in time</w:t>
      </w:r>
      <w:r w:rsidR="000C672E">
        <w:t xml:space="preserve"> that examination is graded as failed. Section 4 </w:t>
      </w:r>
      <w:r w:rsidR="004E444C">
        <w:t>para.</w:t>
      </w:r>
      <w:r w:rsidR="000C672E">
        <w:t xml:space="preserve"> 3 applies.</w:t>
      </w:r>
    </w:p>
    <w:p w14:paraId="63C2DF21" w14:textId="339D4BB5" w:rsidR="000C672E" w:rsidRDefault="000C672E" w:rsidP="000C672E">
      <w:pPr>
        <w:pStyle w:val="Textkrper"/>
        <w:spacing w:line="280" w:lineRule="exact"/>
        <w:rPr>
          <w:rFonts w:cs="Arial"/>
        </w:rPr>
      </w:pPr>
      <w:r>
        <w:t xml:space="preserve">(6) For retaking the final oral examination, </w:t>
      </w:r>
      <w:r w:rsidR="004E444C">
        <w:t>para.</w:t>
      </w:r>
      <w:r w:rsidR="00BC431B">
        <w:t xml:space="preserve"> 3-</w:t>
      </w:r>
      <w:r>
        <w:t xml:space="preserve">5 apply; for retaking the master's thesis, section 15 </w:t>
      </w:r>
      <w:r w:rsidR="004E444C">
        <w:t>para.</w:t>
      </w:r>
      <w:r>
        <w:t xml:space="preserve"> 12 applies.</w:t>
      </w:r>
    </w:p>
    <w:p w14:paraId="45F6E442" w14:textId="7977019A" w:rsidR="000C672E" w:rsidRDefault="000C672E" w:rsidP="000C672E">
      <w:r>
        <w:t xml:space="preserve">(7) If the student has no option to repeat an examination or a course, the master’s examination is failed with no option to </w:t>
      </w:r>
      <w:r w:rsidR="003D1B56">
        <w:t>repeat</w:t>
      </w:r>
      <w:r>
        <w:t xml:space="preserve"> and it is not </w:t>
      </w:r>
      <w:r w:rsidR="00497F46">
        <w:t xml:space="preserve">permitted </w:t>
      </w:r>
      <w:commentRangeStart w:id="45"/>
      <w:commentRangeEnd w:id="45"/>
      <w:r>
        <w:t xml:space="preserve">to continue studying in the same </w:t>
      </w:r>
      <w:r w:rsidR="00B57370">
        <w:t>master’s degree program</w:t>
      </w:r>
      <w:r>
        <w:t>.</w:t>
      </w:r>
    </w:p>
    <w:p w14:paraId="2225C20F" w14:textId="4A331D7C" w:rsidR="000C672E" w:rsidRDefault="000C672E" w:rsidP="000C672E">
      <w:pPr>
        <w:pStyle w:val="Textkrper"/>
        <w:spacing w:line="280" w:lineRule="exact"/>
      </w:pPr>
      <w:r>
        <w:t xml:space="preserve">(8) If a module examination or the </w:t>
      </w:r>
      <w:r w:rsidR="002E3CFD">
        <w:t xml:space="preserve">master’s </w:t>
      </w:r>
      <w:r>
        <w:t xml:space="preserve">examination is failed for the first, second, or final time, the examination committee will inform the student in writing (this may be done electronically), and this letter shall also include if and when the examination may be repeated. The letter informing of a failed module or </w:t>
      </w:r>
      <w:r w:rsidR="002E3CFD">
        <w:t xml:space="preserve">master’s </w:t>
      </w:r>
      <w:r>
        <w:t xml:space="preserve">examination shall contain a notice about the student’s rights of appeal. Section 7 </w:t>
      </w:r>
      <w:r w:rsidR="004E444C">
        <w:t>para.</w:t>
      </w:r>
      <w:r w:rsidR="00BC431B">
        <w:t xml:space="preserve"> 7 </w:t>
      </w:r>
      <w:r w:rsidR="004E444C">
        <w:t>clause</w:t>
      </w:r>
      <w:r>
        <w:t xml:space="preserve"> 2 applies.</w:t>
      </w:r>
    </w:p>
    <w:p w14:paraId="1D927FBC" w14:textId="77777777" w:rsidR="007D42CC" w:rsidRDefault="007D42CC" w:rsidP="007D42CC"/>
    <w:p w14:paraId="183B1150" w14:textId="77777777" w:rsidR="00B453A6" w:rsidRDefault="00B453A6" w:rsidP="00B453A6">
      <w:pPr>
        <w:pStyle w:val="berschrift1"/>
      </w:pPr>
      <w:bookmarkStart w:id="46" w:name="_Toc321320000"/>
      <w:bookmarkStart w:id="47" w:name="_Toc522804417"/>
      <w:r>
        <w:t>Section 19</w:t>
      </w:r>
      <w:r>
        <w:br/>
        <w:t>Absence, Withdrawal, Cheating, Breaches of Regulations</w:t>
      </w:r>
      <w:bookmarkEnd w:id="46"/>
      <w:bookmarkEnd w:id="47"/>
    </w:p>
    <w:p w14:paraId="2D13DE84" w14:textId="77777777" w:rsidR="00B453A6" w:rsidRDefault="00B453A6" w:rsidP="00B453A6">
      <w:pPr>
        <w:pStyle w:val="Textkrper"/>
        <w:spacing w:line="280" w:lineRule="exact"/>
        <w:rPr>
          <w:rFonts w:cs="Arial"/>
        </w:rPr>
      </w:pPr>
      <w:r>
        <w:t>(1) If the candidate misses a registered examination without valid reasons or if he or she withdraws after the beginning of the examination without valid reasons, the examination is graded as “failed” (5.0). Examinations are also considered failed if the candidate has failed to complete them before the deadline passes. The same applies to written examinations that are not completed within the given period of time.</w:t>
      </w:r>
    </w:p>
    <w:p w14:paraId="6E4C271F" w14:textId="25FEF484" w:rsidR="00B453A6" w:rsidRPr="009D46E5" w:rsidRDefault="00B453A6" w:rsidP="00B453A6">
      <w:pPr>
        <w:pStyle w:val="Textkrper"/>
        <w:spacing w:line="280" w:lineRule="exact"/>
        <w:rPr>
          <w:rFonts w:cs="Arial"/>
        </w:rPr>
      </w:pPr>
      <w:r>
        <w:t xml:space="preserve">(2) The responsible examination committee shall be informed immediately in writing about the reasons brought forward for the withdrawal or absence according to </w:t>
      </w:r>
      <w:r w:rsidR="004E444C">
        <w:t>para.</w:t>
      </w:r>
      <w:r>
        <w:t xml:space="preserve"> 1. If the examination committee accepts the reasons, a new examination date will be scheduled. Examination results that are already available will be recognized. If the absence or withdrawal is due to illness, a doctor’s note must be submitted. The candidate must submit the doctor’s note to the responsible examination committee witho</w:t>
      </w:r>
      <w:r w:rsidR="00BC431B">
        <w:t xml:space="preserve">ut </w:t>
      </w:r>
      <w:r w:rsidR="003D1B56">
        <w:t xml:space="preserve">delay </w:t>
      </w:r>
      <w:r w:rsidR="00BC431B">
        <w:t xml:space="preserve">– </w:t>
      </w:r>
      <w:r>
        <w:t>by the third workday after the examination date at the latest, or, in the case of an extension for the thesis or a paper, by the third workday after the beginning of the illness, as specified on the doctor's note. A regular medical certificate confirming that the student is not able to take the examination is sufficient if the student misses the examination due to illness for the first time. If this happens a second time, the university may ask for a medical certificate which indicates the time of the medical treatment, type, extent and duration of the illness as well as its consequences on the ability to take examinations; alternatively, the university may ask for a medical certificate without these details issued by a public health officer (‘Amtsarzt)’. There is no obligation to state the medical diagnosis. The illness of a child that the candidate has custody of or the illness of a relative that requires special care is treated the same as the illness of the candidate. If the reasons are accepted, the examination will be scheduled for the next possible examination date.</w:t>
      </w:r>
    </w:p>
    <w:p w14:paraId="7A85C0CD" w14:textId="4EAA8556" w:rsidR="00B453A6" w:rsidRDefault="00B453A6" w:rsidP="00B453A6">
      <w:pPr>
        <w:pStyle w:val="Textkrper"/>
        <w:spacing w:line="280" w:lineRule="exact"/>
        <w:rPr>
          <w:rFonts w:cs="Arial"/>
        </w:rPr>
      </w:pPr>
      <w:r>
        <w:lastRenderedPageBreak/>
        <w:t xml:space="preserve">(3) If the candidate tries to manipulate the result of his or her examination by cheating or using unauthorized resources or if his or her declaration according to </w:t>
      </w:r>
      <w:r w:rsidR="004E444C">
        <w:t>para.</w:t>
      </w:r>
      <w:r>
        <w:t xml:space="preserve"> 5 turns out to be false, the respective examination is considered “failed” (5.0). See section 7 </w:t>
      </w:r>
      <w:r w:rsidR="004E444C">
        <w:t>para.</w:t>
      </w:r>
      <w:r>
        <w:t xml:space="preserve"> 7. If a candidate disturbs the proper course of an examination, he or she can be excluded from continuing the examination – usually after being warned – by the respective examiner or supervisor. In such a case, the respective examination will be graded as "failed" (5.0). </w:t>
      </w:r>
    </w:p>
    <w:p w14:paraId="78427214" w14:textId="6BFEF282" w:rsidR="00B453A6" w:rsidRDefault="00B453A6" w:rsidP="00B453A6">
      <w:pPr>
        <w:pStyle w:val="Textkrper"/>
        <w:spacing w:line="280" w:lineRule="exact"/>
        <w:rPr>
          <w:rFonts w:cs="Arial"/>
        </w:rPr>
      </w:pPr>
      <w:r>
        <w:t xml:space="preserve">(4) The candidate has a month's time in which they are able to request that the decisions according to </w:t>
      </w:r>
      <w:r w:rsidR="004E444C">
        <w:t>para.</w:t>
      </w:r>
      <w:r>
        <w:t xml:space="preserve"> 3 </w:t>
      </w:r>
      <w:r w:rsidR="004E444C">
        <w:t>clause</w:t>
      </w:r>
      <w:r>
        <w:t xml:space="preserve"> 1 and 3 be reviewed by the examination committee. The student will be informed immediately in writing about decisions with negative implications and will be provided with a reason as well as a legal basis and information on rights to appeal. The candidate in question shall be granted the chance to comment on the issue prior to the decision.</w:t>
      </w:r>
    </w:p>
    <w:p w14:paraId="56FE7F46" w14:textId="35BD4E90" w:rsidR="00B453A6" w:rsidRPr="00D55AB2" w:rsidRDefault="00B453A6" w:rsidP="006657F7">
      <w:r>
        <w:t xml:space="preserve">(5) In the case of written examinations according to section 13 (with the exception of written sit-down examinations) and in the case of the master's thesis according to section 15, the student must submit a declaration stating that it is their own work and that no other sources or means except the ones listed have been employed, that an identical or very similar work has not already been submitted for another exam, and that the regulations for ensuring good scientific practice in research and teaching and procedures for dealing with research misconduct </w:t>
      </w:r>
      <w:r w:rsidR="002E3CFD">
        <w:t>(</w:t>
      </w:r>
      <w:r w:rsidR="002E3CFD" w:rsidRPr="002E3CFD">
        <w:rPr>
          <w:i/>
          <w:lang w:eastAsia="de-DE"/>
        </w:rPr>
        <w:t>Ordnung zur Sicherung guter wissenschaftlicher Praxis in Forschung und Lehre und zum Verfahren zum Umgang mit wissenschaftlichem Fehlverhalten</w:t>
      </w:r>
      <w:r w:rsidR="002E3CFD" w:rsidRPr="00D55094">
        <w:rPr>
          <w:lang w:eastAsia="de-DE"/>
        </w:rPr>
        <w:t xml:space="preserve"> </w:t>
      </w:r>
      <w:r w:rsidR="002E3CFD">
        <w:rPr>
          <w:lang w:eastAsia="de-DE"/>
        </w:rPr>
        <w:t>)</w:t>
      </w:r>
      <w:r>
        <w:t xml:space="preserve">were read and understood. If such a declaration turns out to be false, or if plagiarism, cheating, or misconduct is discovered to have taken place, </w:t>
      </w:r>
      <w:r w:rsidR="00BC431B">
        <w:t>para.</w:t>
      </w:r>
      <w:r>
        <w:t xml:space="preserve"> 3 and 4 apply.</w:t>
      </w:r>
    </w:p>
    <w:p w14:paraId="7C6576E5" w14:textId="13E40B2B" w:rsidR="00B453A6" w:rsidRDefault="00B453A6" w:rsidP="00B453A6">
      <w:pPr>
        <w:pStyle w:val="Textkrper"/>
        <w:spacing w:line="280" w:lineRule="exact"/>
        <w:rPr>
          <w:rFonts w:cs="Arial"/>
        </w:rPr>
      </w:pPr>
      <w:r>
        <w:t xml:space="preserve">(6) The provisions specified in </w:t>
      </w:r>
      <w:r w:rsidR="004E444C">
        <w:t>para.</w:t>
      </w:r>
      <w:r w:rsidR="00BC431B">
        <w:t xml:space="preserve"> </w:t>
      </w:r>
      <w:r>
        <w:t>1 to 5 also apply to coursework.</w:t>
      </w:r>
    </w:p>
    <w:p w14:paraId="5B8F208E" w14:textId="77777777" w:rsidR="00B453A6" w:rsidRDefault="00B453A6" w:rsidP="007D42CC"/>
    <w:p w14:paraId="5C992ACB" w14:textId="7AC24151" w:rsidR="00D04E99" w:rsidRDefault="00D04E99">
      <w:pPr>
        <w:spacing w:after="160" w:line="259" w:lineRule="auto"/>
        <w:jc w:val="left"/>
        <w:rPr>
          <w:rFonts w:eastAsiaTheme="majorEastAsia" w:cstheme="majorBidi"/>
          <w:b/>
          <w:szCs w:val="32"/>
        </w:rPr>
      </w:pPr>
      <w:bookmarkStart w:id="48" w:name="_Toc321320001"/>
    </w:p>
    <w:p w14:paraId="57EE95EF" w14:textId="67042806" w:rsidR="006657F7" w:rsidRPr="00683518" w:rsidRDefault="006657F7" w:rsidP="006657F7">
      <w:pPr>
        <w:pStyle w:val="berschrift1"/>
      </w:pPr>
      <w:bookmarkStart w:id="49" w:name="_Toc522804418"/>
      <w:r w:rsidRPr="00683518">
        <w:t>Section 20</w:t>
      </w:r>
      <w:r w:rsidRPr="00683518">
        <w:br/>
        <w:t>Diploma, Diploma</w:t>
      </w:r>
      <w:r w:rsidR="00E34B93" w:rsidRPr="00683518">
        <w:t xml:space="preserve"> </w:t>
      </w:r>
      <w:r w:rsidRPr="00683518">
        <w:t>Certificate, Diploma Supplement</w:t>
      </w:r>
      <w:bookmarkEnd w:id="48"/>
      <w:bookmarkEnd w:id="49"/>
    </w:p>
    <w:p w14:paraId="76FAD64D" w14:textId="69B2A6E8" w:rsidR="006657F7" w:rsidRDefault="006657F7" w:rsidP="006657F7">
      <w:pPr>
        <w:pStyle w:val="Textkrper"/>
        <w:spacing w:line="280" w:lineRule="exact"/>
        <w:rPr>
          <w:rFonts w:cs="Arial"/>
        </w:rPr>
      </w:pPr>
      <w:r w:rsidRPr="00683518">
        <w:t xml:space="preserve">(1) If the candidate passes the master's examination, he or she will promptly receive a diploma </w:t>
      </w:r>
      <w:r w:rsidR="00E34B93">
        <w:t>(</w:t>
      </w:r>
      <w:r w:rsidR="00E34B93" w:rsidRPr="00E34B93">
        <w:rPr>
          <w:i/>
        </w:rPr>
        <w:t>Zeugnis</w:t>
      </w:r>
      <w:r w:rsidR="00E34B93">
        <w:t xml:space="preserve">) </w:t>
      </w:r>
      <w:r w:rsidRPr="00683518">
        <w:t xml:space="preserve">with the results, usually within six weeks of receiving confirmation that the last examination has been passed. The diploma contains the grades of the module examinations, the master's thesis, the final oral examination and the overall grade (section 17 </w:t>
      </w:r>
      <w:r w:rsidR="004E444C" w:rsidRPr="00683518">
        <w:t>para.</w:t>
      </w:r>
      <w:r w:rsidRPr="00683518">
        <w:t xml:space="preserve"> 4). The credits obtained are to be listed. Moreover, the diploma states the topic of the master's thesis. If module examinations</w:t>
      </w:r>
      <w:r>
        <w:t xml:space="preserve"> are completed at another higher education institution and recognized by JGU, the name of the higher education institution where the module examinations were completed is stated in the diploma. In addition to the overall grade, grading tables according to the ECTS guidelines (European Credit Transfer and Accumulation System) will be handed out, insofar as the necessary data is available. Additional completed non-mandatory coursework and examinations will be displayed; this coursework and these examinations will not be included in the final grade.</w:t>
      </w:r>
    </w:p>
    <w:p w14:paraId="0FFC3812" w14:textId="743A4991" w:rsidR="006657F7" w:rsidRDefault="006657F7" w:rsidP="006657F7">
      <w:pPr>
        <w:pStyle w:val="Textkrper"/>
        <w:spacing w:line="280" w:lineRule="exact"/>
        <w:rPr>
          <w:rFonts w:cs="Arial"/>
        </w:rPr>
      </w:pPr>
      <w:r>
        <w:t xml:space="preserve">(2) The diploma shall display the date on which the last examination necessary for the completion of the degree (module examination, </w:t>
      </w:r>
      <w:r>
        <w:rPr>
          <w:color w:val="FF0000"/>
        </w:rPr>
        <w:t>internship,</w:t>
      </w:r>
      <w:r>
        <w:t xml:space="preserve"> master's thesis, or </w:t>
      </w:r>
      <w:r w:rsidR="000D5121">
        <w:t xml:space="preserve">final </w:t>
      </w:r>
      <w:r>
        <w:t xml:space="preserve">oral examination) was completed. The diploma will be signed by the chair of the examination committee </w:t>
      </w:r>
      <w:r w:rsidR="00E2638F">
        <w:t>and will bear the stamp of the F</w:t>
      </w:r>
      <w:r>
        <w:t>aculty or the seal of the state</w:t>
      </w:r>
      <w:r w:rsidR="000D5121">
        <w:t xml:space="preserve"> Rhineland-Palatine</w:t>
      </w:r>
      <w:r>
        <w:t>.</w:t>
      </w:r>
    </w:p>
    <w:p w14:paraId="59FFB3D3" w14:textId="5722CD48" w:rsidR="006657F7" w:rsidRDefault="006657F7" w:rsidP="006657F7">
      <w:pPr>
        <w:rPr>
          <w:rFonts w:cs="Arial"/>
        </w:rPr>
      </w:pPr>
      <w:r>
        <w:t>(3) The candidate receive</w:t>
      </w:r>
      <w:r w:rsidR="00BC431B">
        <w:t>s</w:t>
      </w:r>
      <w:r>
        <w:t xml:space="preserve"> a certificate </w:t>
      </w:r>
      <w:r w:rsidR="00E34B93">
        <w:t>(</w:t>
      </w:r>
      <w:r w:rsidR="00E34B93" w:rsidRPr="00E34B93">
        <w:rPr>
          <w:i/>
        </w:rPr>
        <w:t>Urkunde</w:t>
      </w:r>
      <w:r w:rsidR="00E34B93">
        <w:t xml:space="preserve">) </w:t>
      </w:r>
      <w:r>
        <w:t xml:space="preserve">at the same time as the diploma, declaring that he or she has been awarded the title of </w:t>
      </w:r>
      <w:r>
        <w:rPr>
          <w:color w:val="FF0000"/>
        </w:rPr>
        <w:t>▀</w:t>
      </w:r>
      <w:r>
        <w:t xml:space="preserve">. The </w:t>
      </w:r>
      <w:r w:rsidR="00E34B93">
        <w:t xml:space="preserve">certificate </w:t>
      </w:r>
      <w:r>
        <w:t xml:space="preserve">bears the date of the diploma. </w:t>
      </w:r>
      <w:r>
        <w:lastRenderedPageBreak/>
        <w:t>The certificate will be signed by the chair of the examinatio</w:t>
      </w:r>
      <w:r w:rsidR="00E2638F">
        <w:t>n committee or the dean of the F</w:t>
      </w:r>
      <w:r>
        <w:t xml:space="preserve">aculty </w:t>
      </w:r>
      <w:r w:rsidR="00E2638F">
        <w:t>and will bear the stamp of the F</w:t>
      </w:r>
      <w:r>
        <w:t>aculty or the seal of the state</w:t>
      </w:r>
      <w:r w:rsidR="00E34B93">
        <w:t xml:space="preserve"> Rhineland-Palatine</w:t>
      </w:r>
      <w:r>
        <w:t>.</w:t>
      </w:r>
    </w:p>
    <w:p w14:paraId="41A282B7" w14:textId="0744CAAB" w:rsidR="006657F7" w:rsidRDefault="006657F7" w:rsidP="006657F7">
      <w:pPr>
        <w:pStyle w:val="Textkrper"/>
        <w:spacing w:line="280" w:lineRule="exact"/>
        <w:rPr>
          <w:rFonts w:cs="Arial"/>
        </w:rPr>
      </w:pPr>
      <w:r>
        <w:t xml:space="preserve">(4) Along with the certificate, the student shall also receive a Diploma Supplement (DS) according to the European Diploma Supplement model, which was developed by the European Commission, the Council of Europe, and UNESCO/CEPES. The supplement will be signed by the chair of the examination committee. To describe the national education system (diploma supplement </w:t>
      </w:r>
      <w:r w:rsidR="004E444C">
        <w:t>para.</w:t>
      </w:r>
      <w:r>
        <w:t xml:space="preserve"> 8), the text recommended by the Standing Conference of the Ministers of Education and Cultural Affairs in coordination with the German Rectors’ Conference in its respective valid version will be used. The Diploma Supplement contains details on the higher education institution, the type of degree, the </w:t>
      </w:r>
      <w:r w:rsidR="00B57370">
        <w:t>degree program</w:t>
      </w:r>
      <w:r>
        <w:t xml:space="preserve">, the admission requirements, the study requirements, and the structure of the </w:t>
      </w:r>
      <w:r w:rsidR="00B57370">
        <w:t>degree program</w:t>
      </w:r>
      <w:r>
        <w:t xml:space="preserve"> as well as the German study system. </w:t>
      </w:r>
    </w:p>
    <w:p w14:paraId="127D70E3" w14:textId="77777777" w:rsidR="006657F7" w:rsidRDefault="006657F7" w:rsidP="006657F7">
      <w:pPr>
        <w:pStyle w:val="Textkrper"/>
        <w:spacing w:line="280" w:lineRule="exact"/>
        <w:rPr>
          <w:rFonts w:cs="Arial"/>
          <w:szCs w:val="20"/>
        </w:rPr>
      </w:pPr>
      <w:r>
        <w:t xml:space="preserve">(5) The diploma, diploma certificate, and diploma supplement will be issued both in German and in English. Upon request, the documents may be issued in another foreign language; if necessary, the graduate shall cover the expenses. The use of electronic signatures or facsimile stamps on diplomas, diploma certificates and diploma supplements in a language other than German is possible. </w:t>
      </w:r>
    </w:p>
    <w:p w14:paraId="71607619" w14:textId="751FC4E1" w:rsidR="006657F7" w:rsidRDefault="006657F7" w:rsidP="006657F7">
      <w:pPr>
        <w:pStyle w:val="Textkrper"/>
        <w:spacing w:line="280" w:lineRule="exact"/>
        <w:rPr>
          <w:rFonts w:cs="Arial"/>
        </w:rPr>
      </w:pPr>
      <w:r>
        <w:t xml:space="preserve">(6) Students who leave the university without a degree or who continue their studies at a university in another </w:t>
      </w:r>
      <w:r w:rsidR="00B57370">
        <w:t>degree program</w:t>
      </w:r>
      <w:r>
        <w:t xml:space="preserve"> will, upon request or upon submission of respective proof, receive a transcript of the completed coursework and examination</w:t>
      </w:r>
      <w:r w:rsidR="00BC431B">
        <w:t xml:space="preserve">s. The request is to be sent </w:t>
      </w:r>
      <w:r>
        <w:t>in writing to the examination committee and must include the necessary documents.</w:t>
      </w:r>
    </w:p>
    <w:p w14:paraId="36A0F548" w14:textId="77777777" w:rsidR="006657F7" w:rsidRDefault="006657F7" w:rsidP="007D42CC"/>
    <w:p w14:paraId="1730AEB0" w14:textId="77777777" w:rsidR="00432569" w:rsidRPr="004315E3" w:rsidRDefault="00432569" w:rsidP="00432569">
      <w:pPr>
        <w:pStyle w:val="berschrift1"/>
      </w:pPr>
      <w:bookmarkStart w:id="50" w:name="_Toc321320003"/>
      <w:bookmarkStart w:id="51" w:name="_Toc522804419"/>
      <w:r>
        <w:t>Section 21</w:t>
      </w:r>
      <w:r>
        <w:br/>
        <w:t>Invalidity of the Master's Examination</w:t>
      </w:r>
      <w:bookmarkEnd w:id="50"/>
      <w:bookmarkEnd w:id="51"/>
    </w:p>
    <w:p w14:paraId="41AA5BD9" w14:textId="177B6B72" w:rsidR="00432569" w:rsidRDefault="00432569" w:rsidP="00432569">
      <w:pPr>
        <w:pStyle w:val="Textkrper"/>
        <w:spacing w:line="280" w:lineRule="exact"/>
        <w:rPr>
          <w:rFonts w:cs="Arial"/>
          <w:szCs w:val="20"/>
        </w:rPr>
      </w:pPr>
      <w:r>
        <w:t xml:space="preserve">(1) If the student has manipulated an examination or coursework by cheating and this fact is revealed after the student has received his or her master's diploma, the responsible examination committee may revise the result and the respective grade retroactively or declare the examination or coursework completely or partially failed. The examiners are to be consulted beforehand. </w:t>
      </w:r>
    </w:p>
    <w:p w14:paraId="3F92595E" w14:textId="0CF80F48" w:rsidR="00432569" w:rsidRDefault="00432569" w:rsidP="00432569">
      <w:pPr>
        <w:rPr>
          <w:rFonts w:cs="Arial"/>
        </w:rPr>
      </w:pPr>
      <w:r>
        <w:t>(2) If the requirements for admission to the examination were not fulfilled without any intent to deceive on the candidate’s part, and this is only discovered after the diploma has been issued, the passed examination is considered to compensate for this shortcoming. If the candidate intentionally gained admission to the examination through deceit, the examination committee will come to a decision according to the Administrative Procedure Act of Rhineland-Palatinate</w:t>
      </w:r>
      <w:r w:rsidR="00BC431B">
        <w:t xml:space="preserve"> (</w:t>
      </w:r>
      <w:r w:rsidR="00BC431B" w:rsidRPr="00BC431B">
        <w:rPr>
          <w:i/>
        </w:rPr>
        <w:t>Verwaltungsverfahrensgesetz Rheinland-Pfalz</w:t>
      </w:r>
      <w:r w:rsidR="00BC431B">
        <w:t>)</w:t>
      </w:r>
      <w:r>
        <w:t>.</w:t>
      </w:r>
    </w:p>
    <w:p w14:paraId="6C7B3433" w14:textId="77777777" w:rsidR="00432569" w:rsidRDefault="00432569" w:rsidP="00432569">
      <w:pPr>
        <w:rPr>
          <w:rFonts w:cs="Arial"/>
        </w:rPr>
      </w:pPr>
      <w:r>
        <w:t>(3) The candidate in question shall be granted the chance to comment on the issue prior to the decision.</w:t>
      </w:r>
    </w:p>
    <w:p w14:paraId="4D8E8C8D" w14:textId="58868FC7" w:rsidR="00432569" w:rsidRDefault="00432569" w:rsidP="00432569">
      <w:pPr>
        <w:rPr>
          <w:rFonts w:cs="Arial"/>
        </w:rPr>
      </w:pPr>
      <w:r>
        <w:t xml:space="preserve">(4) The inaccurate diploma, the diploma supplement and, if applicable, the respective proof of study are then to be recalled and if necessary newly issued. Along with these documents, the diploma certificate will be recalled if the examination is considered “failed” due to cheating. After a period of two years starting from the issuance date of the original master’s diploma, a decision in accordance with </w:t>
      </w:r>
      <w:r w:rsidR="004E444C">
        <w:t>para.</w:t>
      </w:r>
      <w:r>
        <w:t xml:space="preserve"> 1 and </w:t>
      </w:r>
      <w:r w:rsidR="004E444C">
        <w:t>para.</w:t>
      </w:r>
      <w:r>
        <w:t xml:space="preserve"> 2 </w:t>
      </w:r>
      <w:r w:rsidR="004E444C">
        <w:t>clause</w:t>
      </w:r>
      <w:r>
        <w:t xml:space="preserve"> 2 is no longer applicable.</w:t>
      </w:r>
    </w:p>
    <w:p w14:paraId="70B2D928" w14:textId="77777777" w:rsidR="00432569" w:rsidRDefault="00432569" w:rsidP="00432569"/>
    <w:p w14:paraId="1841CEDE" w14:textId="77777777" w:rsidR="00432569" w:rsidRPr="004315E3" w:rsidRDefault="00432569" w:rsidP="00432569">
      <w:pPr>
        <w:pStyle w:val="berschrift1"/>
      </w:pPr>
      <w:bookmarkStart w:id="52" w:name="_§_22_Widerspruch"/>
      <w:bookmarkStart w:id="53" w:name="_Toc321320004"/>
      <w:bookmarkStart w:id="54" w:name="_Toc522804420"/>
      <w:bookmarkEnd w:id="52"/>
      <w:r>
        <w:lastRenderedPageBreak/>
        <w:t>Section 22</w:t>
      </w:r>
      <w:r>
        <w:br/>
        <w:t>Appeal</w:t>
      </w:r>
      <w:bookmarkEnd w:id="53"/>
      <w:bookmarkEnd w:id="54"/>
    </w:p>
    <w:p w14:paraId="2FA9CD87" w14:textId="0F0F78DA" w:rsidR="00432569" w:rsidRPr="00E62FB2" w:rsidRDefault="00432569" w:rsidP="00432569">
      <w:pPr>
        <w:rPr>
          <w:rFonts w:cs="Arial"/>
        </w:rPr>
      </w:pPr>
      <w:r>
        <w:t xml:space="preserve">Objections to examination decisions are to be stated in writing and submitted to the chair of the responsible examination committee after being announced and before any relevant deadlines. The responsible examination committee decides about the appeal. If a student appeals against the </w:t>
      </w:r>
      <w:r w:rsidR="00192AC8">
        <w:t xml:space="preserve">assessment </w:t>
      </w:r>
      <w:r>
        <w:t xml:space="preserve">of an individual examiner, the committee will hear the examiner’s reasons. </w:t>
      </w:r>
    </w:p>
    <w:p w14:paraId="203E7455" w14:textId="77777777" w:rsidR="00432569" w:rsidRPr="00727874" w:rsidRDefault="00432569" w:rsidP="00432569">
      <w:pPr>
        <w:jc w:val="center"/>
        <w:rPr>
          <w:b/>
        </w:rPr>
      </w:pPr>
    </w:p>
    <w:p w14:paraId="1701B4E0" w14:textId="77777777" w:rsidR="00432569" w:rsidRPr="004315E3" w:rsidRDefault="00432569" w:rsidP="00432569">
      <w:pPr>
        <w:pStyle w:val="berschrift1"/>
      </w:pPr>
      <w:bookmarkStart w:id="55" w:name="_§_23_Informationsrecht"/>
      <w:bookmarkStart w:id="56" w:name="_Toc157408913"/>
      <w:bookmarkStart w:id="57" w:name="_Toc321320005"/>
      <w:bookmarkStart w:id="58" w:name="_Toc522804421"/>
      <w:bookmarkEnd w:id="55"/>
      <w:r>
        <w:t>Section 23</w:t>
      </w:r>
      <w:r>
        <w:br/>
        <w:t>Candidates’ Rights of Information</w:t>
      </w:r>
      <w:bookmarkEnd w:id="56"/>
      <w:bookmarkEnd w:id="57"/>
      <w:bookmarkEnd w:id="58"/>
    </w:p>
    <w:p w14:paraId="3784C09B" w14:textId="7DA092A9" w:rsidR="00432569" w:rsidRDefault="00432569" w:rsidP="00432569">
      <w:pPr>
        <w:pStyle w:val="Textkrper"/>
        <w:spacing w:line="280" w:lineRule="exact"/>
        <w:rPr>
          <w:rFonts w:cs="Arial"/>
        </w:rPr>
      </w:pPr>
      <w:r>
        <w:t>(1) The candidate</w:t>
      </w:r>
      <w:r w:rsidR="00497F46">
        <w:t>s</w:t>
      </w:r>
      <w:r>
        <w:t xml:space="preserve"> ha</w:t>
      </w:r>
      <w:r w:rsidR="00497F46">
        <w:t>ve</w:t>
      </w:r>
      <w:r>
        <w:t xml:space="preserve"> the right to know the grades of their coursework and examinations before completing the master’s examination.</w:t>
      </w:r>
    </w:p>
    <w:p w14:paraId="7ADDBBDE" w14:textId="77777777" w:rsidR="00432569" w:rsidRDefault="00432569" w:rsidP="00432569">
      <w:pPr>
        <w:pStyle w:val="Textkrper"/>
        <w:spacing w:line="280" w:lineRule="exact"/>
        <w:rPr>
          <w:rFonts w:cs="Arial"/>
        </w:rPr>
      </w:pPr>
      <w:r>
        <w:t>(2) Upon written request, the candidate will be granted access to his or her examination records, including the master's thesis and the evaluations and examination minutes. Access may also be granted before the completion of the master’s examination.</w:t>
      </w:r>
    </w:p>
    <w:p w14:paraId="277D3161" w14:textId="77777777" w:rsidR="00432569" w:rsidRDefault="00432569" w:rsidP="00432569">
      <w:pPr>
        <w:pStyle w:val="Textkrper"/>
        <w:spacing w:line="280" w:lineRule="exact"/>
        <w:rPr>
          <w:rFonts w:cs="Arial"/>
        </w:rPr>
      </w:pPr>
      <w:r>
        <w:t>(3) The request must be submitted to the chair of the responsible examination committee within one year of completing an examination. The chair of the examination committee decides on the time and place for accessing the examination records.</w:t>
      </w:r>
    </w:p>
    <w:p w14:paraId="08DC284A" w14:textId="77777777" w:rsidR="00432569" w:rsidRDefault="00432569" w:rsidP="00432569">
      <w:pPr>
        <w:jc w:val="center"/>
        <w:rPr>
          <w:rFonts w:cs="Arial"/>
        </w:rPr>
      </w:pPr>
    </w:p>
    <w:p w14:paraId="01024E64" w14:textId="16294C12" w:rsidR="00432569" w:rsidRPr="004315E3" w:rsidRDefault="00432569" w:rsidP="00432569">
      <w:pPr>
        <w:pStyle w:val="berschrift1"/>
      </w:pPr>
      <w:bookmarkStart w:id="59" w:name="_§_24_"/>
      <w:bookmarkStart w:id="60" w:name="_Toc321320006"/>
      <w:bookmarkStart w:id="61" w:name="_Toc522804422"/>
      <w:bookmarkEnd w:id="59"/>
      <w:r>
        <w:t>Section 24</w:t>
      </w:r>
      <w:r>
        <w:br/>
      </w:r>
      <w:bookmarkEnd w:id="60"/>
      <w:r>
        <w:t>Examination Management System</w:t>
      </w:r>
      <w:bookmarkEnd w:id="61"/>
    </w:p>
    <w:p w14:paraId="350A4A52" w14:textId="3DE82DB9" w:rsidR="00432569" w:rsidRDefault="00432569" w:rsidP="00432569">
      <w:pPr>
        <w:rPr>
          <w:rFonts w:cs="Arial"/>
        </w:rPr>
      </w:pPr>
      <w:r>
        <w:t xml:space="preserve">(1) Examination management is generally done through an electronic management system. This includes registration for and de-registration from courses and examinations, the transfer of documents, and the notification of results. </w:t>
      </w:r>
    </w:p>
    <w:p w14:paraId="426F3368" w14:textId="66D20554" w:rsidR="00432569" w:rsidRDefault="00432569" w:rsidP="00432569">
      <w:pPr>
        <w:rPr>
          <w:rFonts w:cs="Arial"/>
        </w:rPr>
      </w:pPr>
      <w:r>
        <w:t>(2) Students are required to check the online portal and their official JGU email account regularly.</w:t>
      </w:r>
    </w:p>
    <w:p w14:paraId="3F13FA11" w14:textId="77777777" w:rsidR="00432569" w:rsidRDefault="00432569" w:rsidP="00432569">
      <w:pPr>
        <w:jc w:val="center"/>
        <w:rPr>
          <w:rFonts w:cs="Arial"/>
        </w:rPr>
      </w:pPr>
    </w:p>
    <w:p w14:paraId="7C6D3D7B" w14:textId="32E1890A" w:rsidR="00432569" w:rsidRPr="004315E3" w:rsidRDefault="00432569" w:rsidP="00432569">
      <w:pPr>
        <w:pStyle w:val="berschrift1"/>
      </w:pPr>
      <w:bookmarkStart w:id="62" w:name="_§_25_In-Kraft-Treten"/>
      <w:bookmarkStart w:id="63" w:name="_Toc321320007"/>
      <w:bookmarkStart w:id="64" w:name="_Toc522804423"/>
      <w:bookmarkEnd w:id="62"/>
      <w:r>
        <w:t>Section 25</w:t>
      </w:r>
      <w:r>
        <w:br/>
      </w:r>
      <w:r w:rsidR="007A5339">
        <w:t>Entry</w:t>
      </w:r>
      <w:bookmarkStart w:id="65" w:name="_GoBack"/>
      <w:bookmarkEnd w:id="65"/>
      <w:commentRangeStart w:id="66"/>
      <w:commentRangeEnd w:id="66"/>
      <w:r>
        <w:t xml:space="preserve"> into Force</w:t>
      </w:r>
      <w:bookmarkEnd w:id="63"/>
      <w:bookmarkEnd w:id="64"/>
    </w:p>
    <w:p w14:paraId="2C29E3D0" w14:textId="49D5D0BC" w:rsidR="00432569" w:rsidRPr="003A1237" w:rsidRDefault="00432569" w:rsidP="00432569">
      <w:r>
        <w:t xml:space="preserve">These examination regulations come into </w:t>
      </w:r>
      <w:r w:rsidR="00497F46">
        <w:t xml:space="preserve">effect </w:t>
      </w:r>
      <w:r>
        <w:t xml:space="preserve">the day after they have been published in the official </w:t>
      </w:r>
      <w:r w:rsidR="00886C7A" w:rsidRPr="00886C7A">
        <w:t>publication journal</w:t>
      </w:r>
      <w:r>
        <w:t xml:space="preserve"> of Johannes Gutenberg University</w:t>
      </w:r>
      <w:r w:rsidR="00192AC8">
        <w:t xml:space="preserve"> (</w:t>
      </w:r>
      <w:r w:rsidR="00192AC8" w:rsidRPr="00192AC8">
        <w:rPr>
          <w:i/>
        </w:rPr>
        <w:t>Veröffentlichungsblatt</w:t>
      </w:r>
      <w:r w:rsidR="00192AC8">
        <w:t>)</w:t>
      </w:r>
      <w:r w:rsidR="007434BE">
        <w:t>.</w:t>
      </w:r>
    </w:p>
    <w:p w14:paraId="05DC99B0" w14:textId="2AEB9E6F" w:rsidR="00432569" w:rsidRDefault="00432569" w:rsidP="00432569">
      <w:pPr>
        <w:pStyle w:val="Textkrper"/>
        <w:spacing w:line="280" w:lineRule="exact"/>
        <w:rPr>
          <w:rFonts w:cs="Arial"/>
          <w:szCs w:val="20"/>
        </w:rPr>
      </w:pPr>
    </w:p>
    <w:p w14:paraId="7B00AE1B" w14:textId="77777777" w:rsidR="00432569" w:rsidRDefault="00432569" w:rsidP="00432569"/>
    <w:p w14:paraId="64243259" w14:textId="77777777" w:rsidR="00432569" w:rsidRDefault="00432569" w:rsidP="00432569">
      <w:pPr>
        <w:rPr>
          <w:rFonts w:cs="Arial"/>
        </w:rPr>
      </w:pPr>
    </w:p>
    <w:p w14:paraId="5BAC79F0" w14:textId="77777777" w:rsidR="00432569" w:rsidRDefault="00432569" w:rsidP="00432569">
      <w:pPr>
        <w:rPr>
          <w:rFonts w:cs="Arial"/>
        </w:rPr>
      </w:pPr>
      <w:r>
        <w:t xml:space="preserve">Mainz, on </w:t>
      </w:r>
      <w:r>
        <w:rPr>
          <w:color w:val="FF0000"/>
        </w:rPr>
        <w:t>▀.</w:t>
      </w:r>
    </w:p>
    <w:p w14:paraId="02CEE4D3" w14:textId="77777777" w:rsidR="00432569" w:rsidRDefault="00432569" w:rsidP="00432569">
      <w:pPr>
        <w:jc w:val="center"/>
        <w:rPr>
          <w:rFonts w:cs="Arial"/>
        </w:rPr>
      </w:pPr>
      <w:r>
        <w:t>The Dean</w:t>
      </w:r>
    </w:p>
    <w:p w14:paraId="562D3710" w14:textId="77777777" w:rsidR="00432569" w:rsidRDefault="00432569" w:rsidP="00432569">
      <w:pPr>
        <w:jc w:val="center"/>
        <w:rPr>
          <w:rFonts w:cs="Arial"/>
        </w:rPr>
      </w:pPr>
      <w:r>
        <w:t xml:space="preserve">Of Faculty </w:t>
      </w:r>
      <w:r>
        <w:rPr>
          <w:color w:val="FF0000"/>
        </w:rPr>
        <w:t>▀</w:t>
      </w:r>
    </w:p>
    <w:p w14:paraId="1FA63470" w14:textId="77777777" w:rsidR="00432569" w:rsidRDefault="00432569" w:rsidP="00432569">
      <w:pPr>
        <w:jc w:val="center"/>
        <w:rPr>
          <w:rFonts w:cs="Arial"/>
        </w:rPr>
      </w:pPr>
      <w:r>
        <w:t>at Johannes Gutenberg University Mainz</w:t>
      </w:r>
    </w:p>
    <w:p w14:paraId="46366C14" w14:textId="77777777" w:rsidR="00432569" w:rsidRDefault="00432569" w:rsidP="00432569">
      <w:pPr>
        <w:jc w:val="center"/>
        <w:rPr>
          <w:rFonts w:cs="Arial"/>
        </w:rPr>
      </w:pPr>
      <w:r>
        <w:t xml:space="preserve">Univ.-Prof. Dr. </w:t>
      </w:r>
      <w:r>
        <w:rPr>
          <w:color w:val="FF0000"/>
        </w:rPr>
        <w:t>▀</w:t>
      </w:r>
      <w:r>
        <w:t xml:space="preserve"> </w:t>
      </w:r>
    </w:p>
    <w:p w14:paraId="30DD085E" w14:textId="77777777" w:rsidR="00432569" w:rsidRPr="0020120B" w:rsidRDefault="00432569" w:rsidP="00432569">
      <w:pPr>
        <w:pStyle w:val="berschrift1"/>
      </w:pPr>
      <w:bookmarkStart w:id="67" w:name="_Anhang_zu_den"/>
      <w:bookmarkEnd w:id="67"/>
      <w:r>
        <w:br w:type="page"/>
      </w:r>
      <w:bookmarkStart w:id="68" w:name="_Toc321320008"/>
      <w:bookmarkStart w:id="69" w:name="_Toc522804424"/>
      <w:r>
        <w:lastRenderedPageBreak/>
        <w:t>Attachment to the Sections 5, 6, 11-14 Modules</w:t>
      </w:r>
      <w:bookmarkEnd w:id="68"/>
      <w:bookmarkEnd w:id="69"/>
    </w:p>
    <w:p w14:paraId="2A96D478" w14:textId="77777777" w:rsidR="00432569" w:rsidRDefault="00432569" w:rsidP="00432569">
      <w:pPr>
        <w:rPr>
          <w:rFonts w:cs="Arial"/>
          <w:sz w:val="20"/>
        </w:rPr>
      </w:pPr>
    </w:p>
    <w:p w14:paraId="7761BCA8" w14:textId="77777777" w:rsidR="00432569" w:rsidRDefault="00432569" w:rsidP="00432569">
      <w:pPr>
        <w:rPr>
          <w:rFonts w:cs="Arial"/>
          <w:sz w:val="20"/>
        </w:rPr>
      </w:pPr>
      <w:r>
        <w:rPr>
          <w:sz w:val="20"/>
        </w:rPr>
        <w:t>1. Module Plan</w:t>
      </w:r>
    </w:p>
    <w:p w14:paraId="7B8F7AA7" w14:textId="77777777" w:rsidR="00432569" w:rsidRDefault="00432569" w:rsidP="00432569">
      <w:pPr>
        <w:rPr>
          <w:rFonts w:cs="Arial"/>
          <w:sz w:val="20"/>
        </w:rPr>
      </w:pPr>
      <w:r>
        <w:rPr>
          <w:sz w:val="20"/>
        </w:rPr>
        <w:t>The program of study consists of the following mandatory and elective modules.</w:t>
      </w:r>
    </w:p>
    <w:p w14:paraId="4A616229" w14:textId="77777777" w:rsidR="00432569" w:rsidRDefault="00432569" w:rsidP="00432569">
      <w:pPr>
        <w:rPr>
          <w:rFonts w:cs="Arial"/>
          <w:sz w:val="20"/>
        </w:rPr>
      </w:pPr>
      <w:r>
        <w:rPr>
          <w:sz w:val="20"/>
        </w:rPr>
        <w:t>1.</w:t>
      </w:r>
      <w:r>
        <w:rPr>
          <w:sz w:val="20"/>
        </w:rPr>
        <w:tab/>
      </w:r>
    </w:p>
    <w:p w14:paraId="14FFA4BA" w14:textId="77777777" w:rsidR="00432569" w:rsidRDefault="00432569" w:rsidP="00432569">
      <w:pPr>
        <w:rPr>
          <w:rFonts w:cs="Arial"/>
          <w:sz w:val="20"/>
        </w:rPr>
      </w:pPr>
      <w:r>
        <w:rPr>
          <w:sz w:val="20"/>
        </w:rPr>
        <w:t xml:space="preserve">2. </w:t>
      </w:r>
      <w:r>
        <w:rPr>
          <w:sz w:val="20"/>
        </w:rPr>
        <w:tab/>
      </w:r>
    </w:p>
    <w:p w14:paraId="2E5F2147" w14:textId="77777777" w:rsidR="00432569" w:rsidRDefault="00432569" w:rsidP="00432569">
      <w:pPr>
        <w:rPr>
          <w:rFonts w:cs="Arial"/>
          <w:sz w:val="20"/>
        </w:rPr>
      </w:pPr>
      <w:r>
        <w:rPr>
          <w:sz w:val="20"/>
        </w:rPr>
        <w:t>3.</w:t>
      </w:r>
      <w:r>
        <w:rPr>
          <w:sz w:val="20"/>
        </w:rPr>
        <w:tab/>
        <w:t>... etc.</w:t>
      </w:r>
    </w:p>
    <w:p w14:paraId="128C72FE" w14:textId="77777777" w:rsidR="00432569" w:rsidRDefault="00432569" w:rsidP="00432569">
      <w:pPr>
        <w:rPr>
          <w:rFonts w:cs="Arial"/>
          <w:sz w:val="20"/>
        </w:rPr>
      </w:pPr>
    </w:p>
    <w:p w14:paraId="312437B7" w14:textId="77777777" w:rsidR="00432569" w:rsidRDefault="00432569" w:rsidP="00432569">
      <w:pPr>
        <w:rPr>
          <w:rFonts w:cs="Arial"/>
          <w:sz w:val="20"/>
        </w:rPr>
      </w:pPr>
      <w:r>
        <w:rPr>
          <w:sz w:val="20"/>
        </w:rPr>
        <w:t>Specific details about the modules can be found in the relevant module handbook.</w:t>
      </w:r>
    </w:p>
    <w:p w14:paraId="557A3F38" w14:textId="77777777" w:rsidR="00432569" w:rsidRPr="004C465F" w:rsidRDefault="00432569" w:rsidP="00432569">
      <w:pPr>
        <w:spacing w:line="280" w:lineRule="atLeast"/>
        <w:rPr>
          <w:rFonts w:cs="Arial"/>
          <w:i/>
          <w:sz w:val="20"/>
        </w:rPr>
      </w:pPr>
    </w:p>
    <w:tbl>
      <w:tblPr>
        <w:tblW w:w="9284" w:type="dxa"/>
        <w:tblInd w:w="-60" w:type="dxa"/>
        <w:tblLayout w:type="fixed"/>
        <w:tblCellMar>
          <w:top w:w="28" w:type="dxa"/>
          <w:left w:w="28" w:type="dxa"/>
          <w:bottom w:w="28" w:type="dxa"/>
          <w:right w:w="28" w:type="dxa"/>
        </w:tblCellMar>
        <w:tblLook w:val="0000" w:firstRow="0" w:lastRow="0" w:firstColumn="0" w:lastColumn="0" w:noHBand="0" w:noVBand="0"/>
      </w:tblPr>
      <w:tblGrid>
        <w:gridCol w:w="2782"/>
        <w:gridCol w:w="567"/>
        <w:gridCol w:w="1559"/>
        <w:gridCol w:w="1134"/>
        <w:gridCol w:w="850"/>
        <w:gridCol w:w="709"/>
        <w:gridCol w:w="1683"/>
      </w:tblGrid>
      <w:tr w:rsidR="00432569" w:rsidRPr="00E4480D" w14:paraId="56D5CC86" w14:textId="77777777" w:rsidTr="00432569">
        <w:trPr>
          <w:cantSplit/>
          <w:trHeight w:val="340"/>
        </w:trPr>
        <w:tc>
          <w:tcPr>
            <w:tcW w:w="2782" w:type="dxa"/>
            <w:tcBorders>
              <w:top w:val="single" w:sz="8" w:space="0" w:color="auto"/>
              <w:left w:val="single" w:sz="8" w:space="0" w:color="auto"/>
              <w:bottom w:val="single" w:sz="8" w:space="0" w:color="auto"/>
              <w:right w:val="single" w:sz="8" w:space="0" w:color="auto"/>
            </w:tcBorders>
            <w:shd w:val="clear" w:color="auto" w:fill="D9D9D9"/>
            <w:vAlign w:val="center"/>
          </w:tcPr>
          <w:p w14:paraId="4DD83C15" w14:textId="77777777" w:rsidR="00432569" w:rsidRPr="00E4480D" w:rsidRDefault="00432569" w:rsidP="00432569">
            <w:pPr>
              <w:spacing w:line="240" w:lineRule="auto"/>
              <w:rPr>
                <w:b/>
              </w:rPr>
            </w:pPr>
            <w:r>
              <w:rPr>
                <w:b/>
              </w:rPr>
              <w:t>Module 1</w:t>
            </w:r>
          </w:p>
        </w:tc>
        <w:tc>
          <w:tcPr>
            <w:tcW w:w="6502" w:type="dxa"/>
            <w:gridSpan w:val="6"/>
            <w:tcBorders>
              <w:top w:val="single" w:sz="8" w:space="0" w:color="auto"/>
              <w:left w:val="single" w:sz="8" w:space="0" w:color="auto"/>
              <w:bottom w:val="single" w:sz="8" w:space="0" w:color="auto"/>
              <w:right w:val="single" w:sz="8" w:space="0" w:color="auto"/>
            </w:tcBorders>
            <w:shd w:val="clear" w:color="auto" w:fill="D9D9D9"/>
            <w:vAlign w:val="center"/>
          </w:tcPr>
          <w:p w14:paraId="7B85CB51" w14:textId="77777777" w:rsidR="00432569" w:rsidRPr="00E4480D" w:rsidRDefault="00432569" w:rsidP="00432569">
            <w:pPr>
              <w:spacing w:line="240" w:lineRule="auto"/>
              <w:jc w:val="center"/>
              <w:rPr>
                <w:b/>
              </w:rPr>
            </w:pPr>
            <w:r>
              <w:rPr>
                <w:b/>
              </w:rPr>
              <w:t>“Sample I”</w:t>
            </w:r>
          </w:p>
        </w:tc>
      </w:tr>
      <w:tr w:rsidR="00432569" w:rsidRPr="004C465F" w14:paraId="37B25552" w14:textId="77777777" w:rsidTr="00432569">
        <w:trPr>
          <w:cantSplit/>
          <w:trHeight w:val="340"/>
        </w:trPr>
        <w:tc>
          <w:tcPr>
            <w:tcW w:w="2782" w:type="dxa"/>
            <w:tcBorders>
              <w:top w:val="nil"/>
              <w:left w:val="single" w:sz="8" w:space="0" w:color="auto"/>
              <w:bottom w:val="single" w:sz="8" w:space="0" w:color="auto"/>
              <w:right w:val="single" w:sz="8" w:space="0" w:color="auto"/>
            </w:tcBorders>
          </w:tcPr>
          <w:p w14:paraId="6314124F" w14:textId="77777777" w:rsidR="00432569" w:rsidRPr="004C465F" w:rsidRDefault="00432569" w:rsidP="00432569">
            <w:pPr>
              <w:spacing w:line="240" w:lineRule="auto"/>
              <w:rPr>
                <w:rFonts w:cs="Arial"/>
                <w:b/>
                <w:sz w:val="20"/>
              </w:rPr>
            </w:pPr>
            <w:r>
              <w:rPr>
                <w:b/>
                <w:sz w:val="20"/>
              </w:rPr>
              <w:t>Course</w:t>
            </w:r>
          </w:p>
        </w:tc>
        <w:tc>
          <w:tcPr>
            <w:tcW w:w="567" w:type="dxa"/>
            <w:tcBorders>
              <w:top w:val="single" w:sz="8" w:space="0" w:color="auto"/>
              <w:left w:val="nil"/>
              <w:bottom w:val="single" w:sz="8" w:space="0" w:color="auto"/>
              <w:right w:val="single" w:sz="8" w:space="0" w:color="auto"/>
            </w:tcBorders>
          </w:tcPr>
          <w:p w14:paraId="140F548B" w14:textId="77777777" w:rsidR="00432569" w:rsidRPr="004C465F" w:rsidRDefault="00432569" w:rsidP="00432569">
            <w:pPr>
              <w:spacing w:line="240" w:lineRule="auto"/>
              <w:jc w:val="center"/>
              <w:rPr>
                <w:rFonts w:cs="Arial"/>
                <w:sz w:val="20"/>
              </w:rPr>
            </w:pPr>
            <w:r>
              <w:rPr>
                <w:b/>
                <w:sz w:val="20"/>
              </w:rPr>
              <w:t>Type</w:t>
            </w:r>
          </w:p>
        </w:tc>
        <w:tc>
          <w:tcPr>
            <w:tcW w:w="1559" w:type="dxa"/>
            <w:tcBorders>
              <w:top w:val="single" w:sz="8" w:space="0" w:color="auto"/>
              <w:left w:val="nil"/>
              <w:bottom w:val="single" w:sz="8" w:space="0" w:color="auto"/>
              <w:right w:val="single" w:sz="8" w:space="0" w:color="auto"/>
            </w:tcBorders>
          </w:tcPr>
          <w:p w14:paraId="2B2B04EE" w14:textId="77777777" w:rsidR="00432569" w:rsidRPr="004C465F" w:rsidRDefault="00432569" w:rsidP="00432569">
            <w:pPr>
              <w:spacing w:line="240" w:lineRule="auto"/>
              <w:jc w:val="center"/>
              <w:rPr>
                <w:rFonts w:cs="Arial"/>
                <w:b/>
                <w:sz w:val="20"/>
              </w:rPr>
            </w:pPr>
            <w:r>
              <w:rPr>
                <w:b/>
                <w:sz w:val="20"/>
              </w:rPr>
              <w:t>Regular Semester</w:t>
            </w:r>
          </w:p>
        </w:tc>
        <w:tc>
          <w:tcPr>
            <w:tcW w:w="1134" w:type="dxa"/>
            <w:tcBorders>
              <w:top w:val="nil"/>
              <w:left w:val="nil"/>
              <w:bottom w:val="single" w:sz="8" w:space="0" w:color="auto"/>
              <w:right w:val="single" w:sz="8" w:space="0" w:color="auto"/>
            </w:tcBorders>
          </w:tcPr>
          <w:p w14:paraId="2C68ED49" w14:textId="29646D99" w:rsidR="00432569" w:rsidRPr="004C465F" w:rsidRDefault="00773A8D" w:rsidP="00432569">
            <w:pPr>
              <w:spacing w:line="240" w:lineRule="auto"/>
              <w:jc w:val="center"/>
              <w:rPr>
                <w:rFonts w:cs="Arial"/>
                <w:b/>
                <w:sz w:val="20"/>
              </w:rPr>
            </w:pPr>
            <w:r>
              <w:rPr>
                <w:b/>
                <w:sz w:val="20"/>
              </w:rPr>
              <w:t>Mandatory</w:t>
            </w:r>
            <w:r w:rsidR="00432569">
              <w:rPr>
                <w:b/>
                <w:sz w:val="20"/>
              </w:rPr>
              <w:t>/Elective</w:t>
            </w:r>
          </w:p>
        </w:tc>
        <w:tc>
          <w:tcPr>
            <w:tcW w:w="850" w:type="dxa"/>
            <w:tcBorders>
              <w:top w:val="nil"/>
              <w:left w:val="nil"/>
              <w:bottom w:val="single" w:sz="8" w:space="0" w:color="auto"/>
              <w:right w:val="single" w:sz="8" w:space="0" w:color="auto"/>
            </w:tcBorders>
          </w:tcPr>
          <w:p w14:paraId="5063E6A8" w14:textId="77777777" w:rsidR="00432569" w:rsidRPr="004C465F" w:rsidRDefault="00432569" w:rsidP="00432569">
            <w:pPr>
              <w:spacing w:line="240" w:lineRule="auto"/>
              <w:jc w:val="center"/>
            </w:pPr>
            <w:r>
              <w:rPr>
                <w:b/>
              </w:rPr>
              <w:t>SWS</w:t>
            </w:r>
          </w:p>
        </w:tc>
        <w:tc>
          <w:tcPr>
            <w:tcW w:w="709" w:type="dxa"/>
            <w:tcBorders>
              <w:top w:val="nil"/>
              <w:left w:val="nil"/>
              <w:bottom w:val="single" w:sz="8" w:space="0" w:color="auto"/>
              <w:right w:val="single" w:sz="8" w:space="0" w:color="auto"/>
            </w:tcBorders>
          </w:tcPr>
          <w:p w14:paraId="23948C68" w14:textId="77777777" w:rsidR="00432569" w:rsidRPr="004C465F" w:rsidRDefault="00432569" w:rsidP="00432569">
            <w:pPr>
              <w:spacing w:line="240" w:lineRule="auto"/>
              <w:jc w:val="center"/>
              <w:rPr>
                <w:rFonts w:cs="Arial"/>
                <w:b/>
                <w:sz w:val="20"/>
              </w:rPr>
            </w:pPr>
            <w:r>
              <w:rPr>
                <w:b/>
                <w:sz w:val="20"/>
              </w:rPr>
              <w:t>ECTS</w:t>
            </w:r>
          </w:p>
        </w:tc>
        <w:tc>
          <w:tcPr>
            <w:tcW w:w="1683" w:type="dxa"/>
            <w:tcBorders>
              <w:top w:val="nil"/>
              <w:left w:val="nil"/>
              <w:bottom w:val="single" w:sz="8" w:space="0" w:color="auto"/>
              <w:right w:val="single" w:sz="4" w:space="0" w:color="auto"/>
            </w:tcBorders>
          </w:tcPr>
          <w:p w14:paraId="14DB2F4D" w14:textId="5AA5F816" w:rsidR="00432569" w:rsidRPr="004C465F" w:rsidRDefault="0077265C" w:rsidP="00432569">
            <w:pPr>
              <w:spacing w:line="240" w:lineRule="auto"/>
              <w:jc w:val="center"/>
              <w:rPr>
                <w:rFonts w:cs="Arial"/>
                <w:b/>
                <w:sz w:val="20"/>
              </w:rPr>
            </w:pPr>
            <w:r>
              <w:rPr>
                <w:b/>
                <w:sz w:val="20"/>
              </w:rPr>
              <w:t>C</w:t>
            </w:r>
            <w:r w:rsidR="00432569">
              <w:rPr>
                <w:b/>
                <w:sz w:val="20"/>
              </w:rPr>
              <w:t>oursework</w:t>
            </w:r>
          </w:p>
        </w:tc>
      </w:tr>
      <w:tr w:rsidR="00432569" w:rsidRPr="004C465F" w14:paraId="044294FB" w14:textId="77777777" w:rsidTr="00432569">
        <w:trPr>
          <w:cantSplit/>
          <w:trHeight w:val="340"/>
        </w:trPr>
        <w:tc>
          <w:tcPr>
            <w:tcW w:w="2782" w:type="dxa"/>
            <w:tcBorders>
              <w:top w:val="nil"/>
              <w:left w:val="single" w:sz="8" w:space="0" w:color="auto"/>
              <w:bottom w:val="single" w:sz="4" w:space="0" w:color="auto"/>
              <w:right w:val="single" w:sz="8" w:space="0" w:color="auto"/>
            </w:tcBorders>
            <w:vAlign w:val="center"/>
          </w:tcPr>
          <w:p w14:paraId="4F7FF50B" w14:textId="77777777" w:rsidR="00432569" w:rsidRPr="004C465F" w:rsidRDefault="00432569" w:rsidP="00432569">
            <w:pPr>
              <w:spacing w:line="240" w:lineRule="auto"/>
              <w:rPr>
                <w:rFonts w:cs="Arial"/>
                <w:sz w:val="20"/>
              </w:rPr>
            </w:pPr>
            <w:r>
              <w:rPr>
                <w:sz w:val="20"/>
              </w:rPr>
              <w:t>Introduction to...</w:t>
            </w:r>
          </w:p>
        </w:tc>
        <w:tc>
          <w:tcPr>
            <w:tcW w:w="567" w:type="dxa"/>
            <w:tcBorders>
              <w:top w:val="single" w:sz="8" w:space="0" w:color="auto"/>
              <w:left w:val="nil"/>
              <w:bottom w:val="single" w:sz="8" w:space="0" w:color="auto"/>
              <w:right w:val="single" w:sz="8" w:space="0" w:color="auto"/>
            </w:tcBorders>
            <w:vAlign w:val="center"/>
          </w:tcPr>
          <w:p w14:paraId="7AE8810E" w14:textId="77777777" w:rsidR="00432569" w:rsidRPr="004C465F" w:rsidRDefault="00432569" w:rsidP="00432569">
            <w:pPr>
              <w:spacing w:line="240" w:lineRule="auto"/>
              <w:jc w:val="center"/>
              <w:rPr>
                <w:rFonts w:cs="Arial"/>
                <w:sz w:val="20"/>
              </w:rPr>
            </w:pPr>
            <w:r>
              <w:rPr>
                <w:sz w:val="20"/>
              </w:rPr>
              <w:t>V</w:t>
            </w:r>
          </w:p>
        </w:tc>
        <w:tc>
          <w:tcPr>
            <w:tcW w:w="1559" w:type="dxa"/>
            <w:tcBorders>
              <w:top w:val="single" w:sz="8" w:space="0" w:color="auto"/>
              <w:left w:val="nil"/>
              <w:bottom w:val="single" w:sz="8" w:space="0" w:color="auto"/>
              <w:right w:val="single" w:sz="8" w:space="0" w:color="auto"/>
            </w:tcBorders>
            <w:vAlign w:val="center"/>
          </w:tcPr>
          <w:p w14:paraId="44AC0307" w14:textId="77777777" w:rsidR="00432569" w:rsidRPr="004C465F" w:rsidRDefault="00432569" w:rsidP="00432569">
            <w:pPr>
              <w:spacing w:line="240" w:lineRule="auto"/>
              <w:jc w:val="center"/>
              <w:rPr>
                <w:rFonts w:cs="Arial"/>
                <w:sz w:val="20"/>
              </w:rPr>
            </w:pPr>
            <w:r>
              <w:rPr>
                <w:sz w:val="20"/>
              </w:rPr>
              <w:t>1</w:t>
            </w:r>
          </w:p>
        </w:tc>
        <w:tc>
          <w:tcPr>
            <w:tcW w:w="1134" w:type="dxa"/>
            <w:tcBorders>
              <w:top w:val="nil"/>
              <w:left w:val="nil"/>
              <w:bottom w:val="single" w:sz="8" w:space="0" w:color="auto"/>
              <w:right w:val="single" w:sz="8" w:space="0" w:color="auto"/>
            </w:tcBorders>
            <w:vAlign w:val="center"/>
          </w:tcPr>
          <w:p w14:paraId="15FCF0A6" w14:textId="77777777" w:rsidR="00432569" w:rsidRPr="004C465F" w:rsidRDefault="00432569" w:rsidP="00432569">
            <w:pPr>
              <w:spacing w:line="240" w:lineRule="auto"/>
              <w:jc w:val="center"/>
              <w:rPr>
                <w:rFonts w:cs="Arial"/>
                <w:sz w:val="20"/>
              </w:rPr>
            </w:pPr>
            <w:r>
              <w:rPr>
                <w:sz w:val="20"/>
              </w:rPr>
              <w:t>P</w:t>
            </w:r>
          </w:p>
        </w:tc>
        <w:tc>
          <w:tcPr>
            <w:tcW w:w="850" w:type="dxa"/>
            <w:tcBorders>
              <w:top w:val="nil"/>
              <w:left w:val="nil"/>
              <w:bottom w:val="single" w:sz="8" w:space="0" w:color="auto"/>
              <w:right w:val="single" w:sz="8" w:space="0" w:color="auto"/>
            </w:tcBorders>
            <w:vAlign w:val="center"/>
          </w:tcPr>
          <w:p w14:paraId="23A8C043" w14:textId="77777777" w:rsidR="00432569" w:rsidRPr="004C465F" w:rsidRDefault="00432569" w:rsidP="00432569">
            <w:pPr>
              <w:spacing w:line="240" w:lineRule="auto"/>
              <w:jc w:val="center"/>
              <w:rPr>
                <w:rFonts w:cs="Arial"/>
                <w:sz w:val="20"/>
              </w:rPr>
            </w:pPr>
            <w:r>
              <w:rPr>
                <w:sz w:val="20"/>
              </w:rPr>
              <w:t>2</w:t>
            </w:r>
          </w:p>
        </w:tc>
        <w:tc>
          <w:tcPr>
            <w:tcW w:w="709" w:type="dxa"/>
            <w:tcBorders>
              <w:top w:val="nil"/>
              <w:left w:val="nil"/>
              <w:bottom w:val="single" w:sz="8" w:space="0" w:color="auto"/>
              <w:right w:val="single" w:sz="8" w:space="0" w:color="auto"/>
            </w:tcBorders>
            <w:vAlign w:val="center"/>
          </w:tcPr>
          <w:p w14:paraId="1BE48769" w14:textId="77777777" w:rsidR="00432569" w:rsidRPr="004C465F" w:rsidRDefault="00432569" w:rsidP="00432569">
            <w:pPr>
              <w:spacing w:line="240" w:lineRule="auto"/>
              <w:jc w:val="center"/>
              <w:rPr>
                <w:rFonts w:cs="Arial"/>
                <w:sz w:val="20"/>
              </w:rPr>
            </w:pPr>
            <w:r>
              <w:rPr>
                <w:sz w:val="20"/>
              </w:rPr>
              <w:t>3</w:t>
            </w:r>
          </w:p>
        </w:tc>
        <w:tc>
          <w:tcPr>
            <w:tcW w:w="1683" w:type="dxa"/>
            <w:tcBorders>
              <w:top w:val="nil"/>
              <w:left w:val="nil"/>
              <w:bottom w:val="single" w:sz="8" w:space="0" w:color="auto"/>
              <w:right w:val="single" w:sz="4" w:space="0" w:color="auto"/>
            </w:tcBorders>
            <w:vAlign w:val="center"/>
          </w:tcPr>
          <w:p w14:paraId="292B7C0C" w14:textId="77777777" w:rsidR="00432569" w:rsidRPr="004C465F" w:rsidRDefault="00432569" w:rsidP="00432569">
            <w:pPr>
              <w:spacing w:line="240" w:lineRule="auto"/>
              <w:jc w:val="center"/>
              <w:rPr>
                <w:rFonts w:cs="Arial"/>
                <w:sz w:val="20"/>
              </w:rPr>
            </w:pPr>
          </w:p>
        </w:tc>
      </w:tr>
      <w:tr w:rsidR="00432569" w:rsidRPr="004C465F" w14:paraId="658CC97E" w14:textId="77777777" w:rsidTr="00432569">
        <w:trPr>
          <w:cantSplit/>
          <w:trHeight w:val="340"/>
        </w:trPr>
        <w:tc>
          <w:tcPr>
            <w:tcW w:w="2782" w:type="dxa"/>
            <w:tcBorders>
              <w:top w:val="single" w:sz="4" w:space="0" w:color="auto"/>
              <w:left w:val="single" w:sz="8" w:space="0" w:color="auto"/>
              <w:bottom w:val="nil"/>
              <w:right w:val="single" w:sz="8" w:space="0" w:color="auto"/>
            </w:tcBorders>
            <w:vAlign w:val="center"/>
          </w:tcPr>
          <w:p w14:paraId="095A12A4" w14:textId="7333E785" w:rsidR="00432569" w:rsidRPr="004C465F" w:rsidRDefault="00432569" w:rsidP="00EA7853">
            <w:pPr>
              <w:spacing w:line="240" w:lineRule="auto"/>
              <w:rPr>
                <w:rFonts w:cs="Arial"/>
                <w:sz w:val="20"/>
              </w:rPr>
            </w:pPr>
            <w:r>
              <w:rPr>
                <w:sz w:val="20"/>
              </w:rPr>
              <w:t xml:space="preserve">Sample </w:t>
            </w:r>
            <w:r w:rsidR="00EA7853">
              <w:rPr>
                <w:sz w:val="20"/>
              </w:rPr>
              <w:t>Practice Class</w:t>
            </w:r>
            <w:r>
              <w:rPr>
                <w:sz w:val="20"/>
              </w:rPr>
              <w:t xml:space="preserve"> I</w:t>
            </w:r>
          </w:p>
        </w:tc>
        <w:tc>
          <w:tcPr>
            <w:tcW w:w="567" w:type="dxa"/>
            <w:tcBorders>
              <w:top w:val="single" w:sz="8" w:space="0" w:color="auto"/>
              <w:left w:val="nil"/>
              <w:bottom w:val="single" w:sz="8" w:space="0" w:color="auto"/>
              <w:right w:val="single" w:sz="8" w:space="0" w:color="auto"/>
            </w:tcBorders>
            <w:vAlign w:val="center"/>
          </w:tcPr>
          <w:p w14:paraId="5F89CC8E" w14:textId="77777777" w:rsidR="00432569" w:rsidRPr="004C465F" w:rsidRDefault="00432569" w:rsidP="00432569">
            <w:pPr>
              <w:spacing w:line="240" w:lineRule="auto"/>
              <w:jc w:val="center"/>
              <w:rPr>
                <w:rFonts w:cs="Arial"/>
                <w:sz w:val="20"/>
              </w:rPr>
            </w:pPr>
            <w:r>
              <w:rPr>
                <w:sz w:val="20"/>
              </w:rPr>
              <w:t>Ü</w:t>
            </w:r>
          </w:p>
        </w:tc>
        <w:tc>
          <w:tcPr>
            <w:tcW w:w="1559" w:type="dxa"/>
            <w:tcBorders>
              <w:top w:val="single" w:sz="8" w:space="0" w:color="auto"/>
              <w:left w:val="nil"/>
              <w:bottom w:val="single" w:sz="8" w:space="0" w:color="auto"/>
              <w:right w:val="single" w:sz="8" w:space="0" w:color="auto"/>
            </w:tcBorders>
            <w:vAlign w:val="center"/>
          </w:tcPr>
          <w:p w14:paraId="44795F84" w14:textId="77777777" w:rsidR="00432569" w:rsidRPr="004C465F" w:rsidRDefault="00432569" w:rsidP="00432569">
            <w:pPr>
              <w:spacing w:line="240" w:lineRule="auto"/>
              <w:jc w:val="center"/>
              <w:rPr>
                <w:rFonts w:cs="Arial"/>
                <w:sz w:val="20"/>
              </w:rPr>
            </w:pPr>
            <w:r>
              <w:rPr>
                <w:sz w:val="20"/>
              </w:rPr>
              <w:t>1</w:t>
            </w:r>
          </w:p>
        </w:tc>
        <w:tc>
          <w:tcPr>
            <w:tcW w:w="1134" w:type="dxa"/>
            <w:tcBorders>
              <w:top w:val="nil"/>
              <w:left w:val="nil"/>
              <w:bottom w:val="nil"/>
              <w:right w:val="single" w:sz="8" w:space="0" w:color="auto"/>
            </w:tcBorders>
            <w:vAlign w:val="center"/>
          </w:tcPr>
          <w:p w14:paraId="7F52356C" w14:textId="77777777" w:rsidR="00432569" w:rsidRPr="004C465F" w:rsidRDefault="00432569" w:rsidP="00432569">
            <w:pPr>
              <w:spacing w:line="240" w:lineRule="auto"/>
              <w:jc w:val="center"/>
              <w:rPr>
                <w:rFonts w:cs="Arial"/>
                <w:sz w:val="20"/>
              </w:rPr>
            </w:pPr>
            <w:r>
              <w:rPr>
                <w:sz w:val="20"/>
              </w:rPr>
              <w:t>WP</w:t>
            </w:r>
          </w:p>
        </w:tc>
        <w:tc>
          <w:tcPr>
            <w:tcW w:w="850" w:type="dxa"/>
            <w:tcBorders>
              <w:top w:val="nil"/>
              <w:left w:val="nil"/>
              <w:bottom w:val="nil"/>
              <w:right w:val="single" w:sz="8" w:space="0" w:color="auto"/>
            </w:tcBorders>
            <w:vAlign w:val="center"/>
          </w:tcPr>
          <w:p w14:paraId="0FD874B6" w14:textId="77777777" w:rsidR="00432569" w:rsidRPr="004C465F" w:rsidRDefault="00432569" w:rsidP="00432569">
            <w:pPr>
              <w:spacing w:line="240" w:lineRule="auto"/>
              <w:jc w:val="center"/>
              <w:rPr>
                <w:rFonts w:cs="Arial"/>
                <w:sz w:val="20"/>
              </w:rPr>
            </w:pPr>
            <w:r>
              <w:rPr>
                <w:sz w:val="20"/>
              </w:rPr>
              <w:t>2</w:t>
            </w:r>
          </w:p>
        </w:tc>
        <w:tc>
          <w:tcPr>
            <w:tcW w:w="709" w:type="dxa"/>
            <w:tcBorders>
              <w:top w:val="nil"/>
              <w:left w:val="nil"/>
              <w:bottom w:val="nil"/>
              <w:right w:val="single" w:sz="8" w:space="0" w:color="auto"/>
            </w:tcBorders>
            <w:vAlign w:val="center"/>
          </w:tcPr>
          <w:p w14:paraId="7E0222FC" w14:textId="77777777" w:rsidR="00432569" w:rsidRPr="004C465F" w:rsidRDefault="00432569" w:rsidP="00432569">
            <w:pPr>
              <w:spacing w:line="240" w:lineRule="auto"/>
              <w:jc w:val="center"/>
              <w:rPr>
                <w:rFonts w:cs="Arial"/>
                <w:sz w:val="20"/>
              </w:rPr>
            </w:pPr>
            <w:r>
              <w:rPr>
                <w:sz w:val="20"/>
              </w:rPr>
              <w:t>3</w:t>
            </w:r>
          </w:p>
        </w:tc>
        <w:tc>
          <w:tcPr>
            <w:tcW w:w="1683" w:type="dxa"/>
            <w:tcBorders>
              <w:top w:val="nil"/>
              <w:left w:val="nil"/>
              <w:bottom w:val="nil"/>
              <w:right w:val="single" w:sz="4" w:space="0" w:color="auto"/>
            </w:tcBorders>
            <w:vAlign w:val="center"/>
          </w:tcPr>
          <w:p w14:paraId="33051895" w14:textId="77777777" w:rsidR="00432569" w:rsidRPr="004C465F" w:rsidRDefault="00432569" w:rsidP="00432569">
            <w:pPr>
              <w:spacing w:line="240" w:lineRule="auto"/>
              <w:jc w:val="center"/>
              <w:rPr>
                <w:rFonts w:cs="Arial"/>
                <w:sz w:val="20"/>
              </w:rPr>
            </w:pPr>
          </w:p>
        </w:tc>
      </w:tr>
      <w:tr w:rsidR="00432569" w:rsidRPr="004C465F" w14:paraId="7F038A37" w14:textId="77777777" w:rsidTr="00432569">
        <w:trPr>
          <w:cantSplit/>
          <w:trHeight w:val="340"/>
        </w:trPr>
        <w:tc>
          <w:tcPr>
            <w:tcW w:w="2782" w:type="dxa"/>
            <w:tcBorders>
              <w:top w:val="single" w:sz="8" w:space="0" w:color="auto"/>
              <w:left w:val="single" w:sz="8" w:space="0" w:color="auto"/>
              <w:bottom w:val="double" w:sz="4" w:space="0" w:color="auto"/>
              <w:right w:val="single" w:sz="8" w:space="0" w:color="auto"/>
            </w:tcBorders>
            <w:vAlign w:val="center"/>
          </w:tcPr>
          <w:p w14:paraId="651ADDE8" w14:textId="76FBBD8B" w:rsidR="00432569" w:rsidRPr="004C465F" w:rsidRDefault="00432569" w:rsidP="00EA7853">
            <w:pPr>
              <w:spacing w:line="240" w:lineRule="auto"/>
              <w:rPr>
                <w:rFonts w:cs="Arial"/>
                <w:sz w:val="20"/>
              </w:rPr>
            </w:pPr>
            <w:r>
              <w:rPr>
                <w:sz w:val="20"/>
              </w:rPr>
              <w:t xml:space="preserve">Sample </w:t>
            </w:r>
            <w:r w:rsidR="00EA7853">
              <w:rPr>
                <w:sz w:val="20"/>
              </w:rPr>
              <w:t>Practice Class</w:t>
            </w:r>
            <w:r>
              <w:rPr>
                <w:sz w:val="20"/>
              </w:rPr>
              <w:t xml:space="preserve"> II</w:t>
            </w:r>
          </w:p>
        </w:tc>
        <w:tc>
          <w:tcPr>
            <w:tcW w:w="567" w:type="dxa"/>
            <w:tcBorders>
              <w:top w:val="single" w:sz="8" w:space="0" w:color="auto"/>
              <w:left w:val="nil"/>
              <w:bottom w:val="double" w:sz="4" w:space="0" w:color="auto"/>
              <w:right w:val="single" w:sz="8" w:space="0" w:color="auto"/>
            </w:tcBorders>
            <w:vAlign w:val="center"/>
          </w:tcPr>
          <w:p w14:paraId="52C00624" w14:textId="77777777" w:rsidR="00432569" w:rsidRPr="004C465F" w:rsidRDefault="00432569" w:rsidP="00432569">
            <w:pPr>
              <w:spacing w:line="240" w:lineRule="auto"/>
              <w:jc w:val="center"/>
              <w:rPr>
                <w:rFonts w:cs="Arial"/>
                <w:sz w:val="20"/>
              </w:rPr>
            </w:pPr>
            <w:r>
              <w:rPr>
                <w:sz w:val="20"/>
              </w:rPr>
              <w:t>Ü</w:t>
            </w:r>
          </w:p>
        </w:tc>
        <w:tc>
          <w:tcPr>
            <w:tcW w:w="1559" w:type="dxa"/>
            <w:tcBorders>
              <w:top w:val="single" w:sz="8" w:space="0" w:color="auto"/>
              <w:left w:val="nil"/>
              <w:bottom w:val="double" w:sz="4" w:space="0" w:color="auto"/>
              <w:right w:val="single" w:sz="8" w:space="0" w:color="auto"/>
            </w:tcBorders>
            <w:vAlign w:val="center"/>
          </w:tcPr>
          <w:p w14:paraId="2BB86C65" w14:textId="77777777" w:rsidR="00432569" w:rsidRPr="004C465F" w:rsidRDefault="00432569" w:rsidP="00432569">
            <w:pPr>
              <w:spacing w:line="240" w:lineRule="auto"/>
              <w:jc w:val="center"/>
              <w:rPr>
                <w:rFonts w:cs="Arial"/>
                <w:sz w:val="20"/>
              </w:rPr>
            </w:pPr>
            <w:r>
              <w:rPr>
                <w:sz w:val="20"/>
              </w:rPr>
              <w:t>1</w:t>
            </w:r>
          </w:p>
        </w:tc>
        <w:tc>
          <w:tcPr>
            <w:tcW w:w="1134" w:type="dxa"/>
            <w:tcBorders>
              <w:top w:val="single" w:sz="8" w:space="0" w:color="auto"/>
              <w:left w:val="nil"/>
              <w:bottom w:val="double" w:sz="4" w:space="0" w:color="auto"/>
              <w:right w:val="single" w:sz="8" w:space="0" w:color="auto"/>
            </w:tcBorders>
            <w:vAlign w:val="center"/>
          </w:tcPr>
          <w:p w14:paraId="5D2325F2" w14:textId="77777777" w:rsidR="00432569" w:rsidRPr="004C465F" w:rsidRDefault="00432569" w:rsidP="00432569">
            <w:pPr>
              <w:spacing w:line="240" w:lineRule="auto"/>
              <w:jc w:val="center"/>
              <w:rPr>
                <w:rFonts w:cs="Arial"/>
                <w:sz w:val="20"/>
              </w:rPr>
            </w:pPr>
            <w:r>
              <w:rPr>
                <w:sz w:val="20"/>
              </w:rPr>
              <w:t>WP</w:t>
            </w:r>
          </w:p>
        </w:tc>
        <w:tc>
          <w:tcPr>
            <w:tcW w:w="850" w:type="dxa"/>
            <w:tcBorders>
              <w:top w:val="single" w:sz="8" w:space="0" w:color="auto"/>
              <w:left w:val="nil"/>
              <w:bottom w:val="double" w:sz="4" w:space="0" w:color="auto"/>
              <w:right w:val="single" w:sz="8" w:space="0" w:color="auto"/>
            </w:tcBorders>
            <w:vAlign w:val="center"/>
          </w:tcPr>
          <w:p w14:paraId="2873AB27" w14:textId="77777777" w:rsidR="00432569" w:rsidRPr="004C465F" w:rsidRDefault="00432569" w:rsidP="00432569">
            <w:pPr>
              <w:spacing w:line="240" w:lineRule="auto"/>
              <w:jc w:val="center"/>
              <w:rPr>
                <w:rFonts w:cs="Arial"/>
                <w:sz w:val="20"/>
              </w:rPr>
            </w:pPr>
            <w:r>
              <w:rPr>
                <w:sz w:val="20"/>
              </w:rPr>
              <w:t>4</w:t>
            </w:r>
          </w:p>
        </w:tc>
        <w:tc>
          <w:tcPr>
            <w:tcW w:w="709" w:type="dxa"/>
            <w:tcBorders>
              <w:top w:val="single" w:sz="8" w:space="0" w:color="auto"/>
              <w:left w:val="nil"/>
              <w:bottom w:val="double" w:sz="4" w:space="0" w:color="auto"/>
              <w:right w:val="single" w:sz="8" w:space="0" w:color="auto"/>
            </w:tcBorders>
            <w:vAlign w:val="center"/>
          </w:tcPr>
          <w:p w14:paraId="7879C2C4" w14:textId="77777777" w:rsidR="00432569" w:rsidRPr="004C465F" w:rsidRDefault="00432569" w:rsidP="00432569">
            <w:pPr>
              <w:spacing w:line="240" w:lineRule="auto"/>
              <w:jc w:val="center"/>
              <w:rPr>
                <w:rFonts w:cs="Arial"/>
                <w:sz w:val="20"/>
              </w:rPr>
            </w:pPr>
            <w:r>
              <w:rPr>
                <w:sz w:val="20"/>
              </w:rPr>
              <w:t>6</w:t>
            </w:r>
          </w:p>
        </w:tc>
        <w:tc>
          <w:tcPr>
            <w:tcW w:w="1683" w:type="dxa"/>
            <w:tcBorders>
              <w:top w:val="single" w:sz="8" w:space="0" w:color="auto"/>
              <w:left w:val="nil"/>
              <w:bottom w:val="double" w:sz="4" w:space="0" w:color="auto"/>
              <w:right w:val="single" w:sz="4" w:space="0" w:color="auto"/>
            </w:tcBorders>
            <w:vAlign w:val="center"/>
          </w:tcPr>
          <w:p w14:paraId="7231E3F8" w14:textId="77777777" w:rsidR="00432569" w:rsidRPr="004C465F" w:rsidRDefault="00432569" w:rsidP="00432569">
            <w:pPr>
              <w:spacing w:line="240" w:lineRule="auto"/>
              <w:jc w:val="center"/>
              <w:rPr>
                <w:rFonts w:cs="Arial"/>
                <w:sz w:val="20"/>
                <w:lang w:val="en-GB"/>
              </w:rPr>
            </w:pPr>
          </w:p>
        </w:tc>
      </w:tr>
      <w:tr w:rsidR="00432569" w:rsidRPr="004C465F" w14:paraId="1F5F8D65" w14:textId="77777777" w:rsidTr="00432569">
        <w:trPr>
          <w:cantSplit/>
          <w:trHeight w:val="340"/>
        </w:trPr>
        <w:tc>
          <w:tcPr>
            <w:tcW w:w="2782" w:type="dxa"/>
            <w:tcBorders>
              <w:top w:val="nil"/>
              <w:left w:val="single" w:sz="8" w:space="0" w:color="auto"/>
              <w:bottom w:val="single" w:sz="8" w:space="0" w:color="auto"/>
              <w:right w:val="single" w:sz="8" w:space="0" w:color="auto"/>
            </w:tcBorders>
            <w:vAlign w:val="center"/>
          </w:tcPr>
          <w:p w14:paraId="45DA5A30" w14:textId="77777777" w:rsidR="00432569" w:rsidRPr="004C465F" w:rsidRDefault="00432569" w:rsidP="00432569">
            <w:pPr>
              <w:spacing w:line="240" w:lineRule="auto"/>
              <w:rPr>
                <w:rFonts w:cs="Arial"/>
                <w:sz w:val="20"/>
              </w:rPr>
            </w:pPr>
            <w:r>
              <w:rPr>
                <w:b/>
                <w:sz w:val="20"/>
              </w:rPr>
              <w:t>Module examination:</w:t>
            </w:r>
          </w:p>
        </w:tc>
        <w:tc>
          <w:tcPr>
            <w:tcW w:w="6502" w:type="dxa"/>
            <w:gridSpan w:val="6"/>
            <w:tcBorders>
              <w:top w:val="nil"/>
              <w:left w:val="nil"/>
              <w:bottom w:val="single" w:sz="8" w:space="0" w:color="auto"/>
              <w:right w:val="single" w:sz="8" w:space="0" w:color="auto"/>
            </w:tcBorders>
            <w:vAlign w:val="center"/>
          </w:tcPr>
          <w:p w14:paraId="64C2C72A" w14:textId="77777777" w:rsidR="00432569" w:rsidRPr="004C465F" w:rsidRDefault="00432569" w:rsidP="00432569">
            <w:pPr>
              <w:spacing w:line="240" w:lineRule="auto"/>
              <w:jc w:val="center"/>
              <w:rPr>
                <w:rFonts w:cs="Arial"/>
                <w:sz w:val="20"/>
              </w:rPr>
            </w:pPr>
            <w:r>
              <w:rPr>
                <w:sz w:val="20"/>
              </w:rPr>
              <w:t>Sit-down examination (90 mins)</w:t>
            </w:r>
          </w:p>
        </w:tc>
      </w:tr>
      <w:tr w:rsidR="00432569" w:rsidRPr="004C465F" w14:paraId="5B2E30F8" w14:textId="77777777" w:rsidTr="00432569">
        <w:trPr>
          <w:trHeight w:val="340"/>
        </w:trPr>
        <w:tc>
          <w:tcPr>
            <w:tcW w:w="2782" w:type="dxa"/>
            <w:tcBorders>
              <w:top w:val="nil"/>
              <w:left w:val="single" w:sz="8" w:space="0" w:color="auto"/>
              <w:bottom w:val="single" w:sz="8" w:space="0" w:color="auto"/>
              <w:right w:val="single" w:sz="8" w:space="0" w:color="auto"/>
            </w:tcBorders>
            <w:vAlign w:val="center"/>
          </w:tcPr>
          <w:p w14:paraId="2FC02E30" w14:textId="77777777" w:rsidR="00432569" w:rsidRPr="004C465F" w:rsidRDefault="00432569" w:rsidP="00432569">
            <w:pPr>
              <w:spacing w:line="240" w:lineRule="auto"/>
              <w:rPr>
                <w:rFonts w:cs="Arial"/>
                <w:b/>
                <w:sz w:val="20"/>
              </w:rPr>
            </w:pPr>
            <w:r>
              <w:rPr>
                <w:b/>
                <w:sz w:val="20"/>
              </w:rPr>
              <w:t>Total</w:t>
            </w:r>
          </w:p>
        </w:tc>
        <w:tc>
          <w:tcPr>
            <w:tcW w:w="3260" w:type="dxa"/>
            <w:gridSpan w:val="3"/>
            <w:tcBorders>
              <w:top w:val="nil"/>
              <w:left w:val="nil"/>
              <w:bottom w:val="single" w:sz="8" w:space="0" w:color="auto"/>
              <w:right w:val="single" w:sz="8" w:space="0" w:color="auto"/>
            </w:tcBorders>
            <w:vAlign w:val="center"/>
          </w:tcPr>
          <w:p w14:paraId="7AB8C0C0" w14:textId="77777777" w:rsidR="00432569" w:rsidRPr="004C465F" w:rsidRDefault="00432569" w:rsidP="00432569">
            <w:pPr>
              <w:spacing w:line="240" w:lineRule="auto"/>
              <w:jc w:val="center"/>
              <w:rPr>
                <w:rFonts w:cs="Arial"/>
                <w:sz w:val="20"/>
              </w:rPr>
            </w:pPr>
          </w:p>
        </w:tc>
        <w:tc>
          <w:tcPr>
            <w:tcW w:w="850" w:type="dxa"/>
            <w:tcBorders>
              <w:top w:val="nil"/>
              <w:left w:val="nil"/>
              <w:bottom w:val="single" w:sz="8" w:space="0" w:color="auto"/>
              <w:right w:val="single" w:sz="8" w:space="0" w:color="auto"/>
            </w:tcBorders>
            <w:vAlign w:val="center"/>
          </w:tcPr>
          <w:p w14:paraId="1CC7735F" w14:textId="77777777" w:rsidR="00432569" w:rsidRPr="004C465F" w:rsidRDefault="00432569" w:rsidP="00432569">
            <w:pPr>
              <w:spacing w:line="240" w:lineRule="auto"/>
              <w:jc w:val="center"/>
              <w:rPr>
                <w:rFonts w:cs="Arial"/>
                <w:b/>
                <w:sz w:val="20"/>
              </w:rPr>
            </w:pPr>
            <w:r>
              <w:rPr>
                <w:b/>
                <w:sz w:val="20"/>
              </w:rPr>
              <w:t>8 SWS</w:t>
            </w:r>
          </w:p>
        </w:tc>
        <w:tc>
          <w:tcPr>
            <w:tcW w:w="709" w:type="dxa"/>
            <w:tcBorders>
              <w:top w:val="nil"/>
              <w:left w:val="nil"/>
              <w:bottom w:val="single" w:sz="8" w:space="0" w:color="auto"/>
              <w:right w:val="single" w:sz="8" w:space="0" w:color="auto"/>
            </w:tcBorders>
            <w:vAlign w:val="center"/>
          </w:tcPr>
          <w:p w14:paraId="2AA1D376" w14:textId="77777777" w:rsidR="00432569" w:rsidRPr="004C465F" w:rsidRDefault="00432569" w:rsidP="00432569">
            <w:pPr>
              <w:spacing w:line="240" w:lineRule="auto"/>
              <w:jc w:val="center"/>
              <w:rPr>
                <w:rFonts w:cs="Arial"/>
                <w:b/>
                <w:sz w:val="20"/>
              </w:rPr>
            </w:pPr>
            <w:r>
              <w:rPr>
                <w:b/>
                <w:sz w:val="20"/>
              </w:rPr>
              <w:t>12 ECTS</w:t>
            </w:r>
          </w:p>
        </w:tc>
        <w:tc>
          <w:tcPr>
            <w:tcW w:w="1683" w:type="dxa"/>
            <w:tcBorders>
              <w:top w:val="nil"/>
              <w:left w:val="nil"/>
              <w:bottom w:val="single" w:sz="8" w:space="0" w:color="auto"/>
              <w:right w:val="single" w:sz="8" w:space="0" w:color="auto"/>
            </w:tcBorders>
            <w:vAlign w:val="center"/>
          </w:tcPr>
          <w:p w14:paraId="1D3A2871" w14:textId="77777777" w:rsidR="00432569" w:rsidRPr="004C465F" w:rsidRDefault="00432569" w:rsidP="00432569">
            <w:pPr>
              <w:spacing w:line="240" w:lineRule="auto"/>
              <w:jc w:val="center"/>
              <w:rPr>
                <w:rFonts w:cs="Arial"/>
                <w:b/>
                <w:sz w:val="20"/>
              </w:rPr>
            </w:pPr>
          </w:p>
        </w:tc>
      </w:tr>
    </w:tbl>
    <w:p w14:paraId="16198398" w14:textId="77777777" w:rsidR="00432569" w:rsidRPr="004C465F" w:rsidRDefault="00432569" w:rsidP="00432569">
      <w:pPr>
        <w:rPr>
          <w:rFonts w:cs="Arial"/>
          <w:sz w:val="20"/>
        </w:rPr>
      </w:pPr>
    </w:p>
    <w:tbl>
      <w:tblPr>
        <w:tblW w:w="9284" w:type="dxa"/>
        <w:tblInd w:w="-60" w:type="dxa"/>
        <w:tblLayout w:type="fixed"/>
        <w:tblCellMar>
          <w:top w:w="28" w:type="dxa"/>
          <w:left w:w="28" w:type="dxa"/>
          <w:bottom w:w="28" w:type="dxa"/>
          <w:right w:w="28" w:type="dxa"/>
        </w:tblCellMar>
        <w:tblLook w:val="0000" w:firstRow="0" w:lastRow="0" w:firstColumn="0" w:lastColumn="0" w:noHBand="0" w:noVBand="0"/>
      </w:tblPr>
      <w:tblGrid>
        <w:gridCol w:w="2782"/>
        <w:gridCol w:w="567"/>
        <w:gridCol w:w="1559"/>
        <w:gridCol w:w="1134"/>
        <w:gridCol w:w="850"/>
        <w:gridCol w:w="709"/>
        <w:gridCol w:w="1683"/>
      </w:tblGrid>
      <w:tr w:rsidR="00432569" w:rsidRPr="00E4480D" w14:paraId="1A89B1CC" w14:textId="77777777" w:rsidTr="00432569">
        <w:trPr>
          <w:cantSplit/>
          <w:trHeight w:val="340"/>
        </w:trPr>
        <w:tc>
          <w:tcPr>
            <w:tcW w:w="2782" w:type="dxa"/>
            <w:tcBorders>
              <w:top w:val="single" w:sz="8" w:space="0" w:color="auto"/>
              <w:left w:val="single" w:sz="8" w:space="0" w:color="auto"/>
              <w:bottom w:val="single" w:sz="8" w:space="0" w:color="auto"/>
              <w:right w:val="single" w:sz="8" w:space="0" w:color="auto"/>
            </w:tcBorders>
            <w:shd w:val="clear" w:color="auto" w:fill="D9D9D9"/>
            <w:vAlign w:val="center"/>
          </w:tcPr>
          <w:p w14:paraId="6BDA2E77" w14:textId="77777777" w:rsidR="00432569" w:rsidRPr="00E4480D" w:rsidRDefault="00432569" w:rsidP="00432569">
            <w:pPr>
              <w:spacing w:line="240" w:lineRule="auto"/>
              <w:rPr>
                <w:b/>
              </w:rPr>
            </w:pPr>
            <w:r>
              <w:rPr>
                <w:b/>
              </w:rPr>
              <w:t>Module 2</w:t>
            </w:r>
          </w:p>
        </w:tc>
        <w:tc>
          <w:tcPr>
            <w:tcW w:w="6502" w:type="dxa"/>
            <w:gridSpan w:val="6"/>
            <w:tcBorders>
              <w:top w:val="single" w:sz="8" w:space="0" w:color="auto"/>
              <w:left w:val="single" w:sz="8" w:space="0" w:color="auto"/>
              <w:bottom w:val="single" w:sz="8" w:space="0" w:color="auto"/>
              <w:right w:val="single" w:sz="8" w:space="0" w:color="auto"/>
            </w:tcBorders>
            <w:shd w:val="clear" w:color="auto" w:fill="D9D9D9"/>
            <w:vAlign w:val="center"/>
          </w:tcPr>
          <w:p w14:paraId="2C3579AD" w14:textId="77777777" w:rsidR="00432569" w:rsidRPr="00E4480D" w:rsidRDefault="00432569" w:rsidP="00432569">
            <w:pPr>
              <w:spacing w:line="240" w:lineRule="auto"/>
              <w:jc w:val="center"/>
              <w:rPr>
                <w:b/>
              </w:rPr>
            </w:pPr>
            <w:r>
              <w:rPr>
                <w:b/>
              </w:rPr>
              <w:t>“Sample II”</w:t>
            </w:r>
          </w:p>
        </w:tc>
      </w:tr>
      <w:tr w:rsidR="00432569" w:rsidRPr="004C465F" w14:paraId="73C4B6F1" w14:textId="77777777" w:rsidTr="00432569">
        <w:trPr>
          <w:cantSplit/>
          <w:trHeight w:val="340"/>
        </w:trPr>
        <w:tc>
          <w:tcPr>
            <w:tcW w:w="2782" w:type="dxa"/>
            <w:tcBorders>
              <w:top w:val="nil"/>
              <w:left w:val="single" w:sz="8" w:space="0" w:color="auto"/>
              <w:bottom w:val="single" w:sz="8" w:space="0" w:color="auto"/>
              <w:right w:val="single" w:sz="8" w:space="0" w:color="auto"/>
            </w:tcBorders>
          </w:tcPr>
          <w:p w14:paraId="2F76B1AF" w14:textId="77777777" w:rsidR="00432569" w:rsidRPr="004C465F" w:rsidRDefault="00432569" w:rsidP="00432569">
            <w:pPr>
              <w:spacing w:line="240" w:lineRule="auto"/>
              <w:rPr>
                <w:rFonts w:cs="Arial"/>
                <w:b/>
                <w:sz w:val="20"/>
              </w:rPr>
            </w:pPr>
            <w:r>
              <w:rPr>
                <w:b/>
                <w:sz w:val="20"/>
              </w:rPr>
              <w:t>Course</w:t>
            </w:r>
          </w:p>
        </w:tc>
        <w:tc>
          <w:tcPr>
            <w:tcW w:w="567" w:type="dxa"/>
            <w:tcBorders>
              <w:top w:val="single" w:sz="8" w:space="0" w:color="auto"/>
              <w:left w:val="nil"/>
              <w:bottom w:val="single" w:sz="8" w:space="0" w:color="auto"/>
              <w:right w:val="single" w:sz="8" w:space="0" w:color="auto"/>
            </w:tcBorders>
          </w:tcPr>
          <w:p w14:paraId="778B407E" w14:textId="77777777" w:rsidR="00432569" w:rsidRPr="004C465F" w:rsidRDefault="00432569" w:rsidP="00432569">
            <w:pPr>
              <w:spacing w:line="240" w:lineRule="auto"/>
              <w:jc w:val="center"/>
              <w:rPr>
                <w:rFonts w:cs="Arial"/>
                <w:sz w:val="20"/>
              </w:rPr>
            </w:pPr>
            <w:r>
              <w:rPr>
                <w:b/>
                <w:sz w:val="20"/>
              </w:rPr>
              <w:t>Type</w:t>
            </w:r>
          </w:p>
        </w:tc>
        <w:tc>
          <w:tcPr>
            <w:tcW w:w="1559" w:type="dxa"/>
            <w:tcBorders>
              <w:top w:val="single" w:sz="8" w:space="0" w:color="auto"/>
              <w:left w:val="nil"/>
              <w:bottom w:val="single" w:sz="8" w:space="0" w:color="auto"/>
              <w:right w:val="single" w:sz="8" w:space="0" w:color="auto"/>
            </w:tcBorders>
          </w:tcPr>
          <w:p w14:paraId="34360B46" w14:textId="77777777" w:rsidR="00432569" w:rsidRDefault="00432569" w:rsidP="00432569">
            <w:pPr>
              <w:jc w:val="center"/>
              <w:rPr>
                <w:rFonts w:cs="Arial"/>
                <w:b/>
                <w:sz w:val="20"/>
              </w:rPr>
            </w:pPr>
            <w:r>
              <w:rPr>
                <w:b/>
                <w:sz w:val="20"/>
              </w:rPr>
              <w:t>Regular Semester</w:t>
            </w:r>
          </w:p>
          <w:p w14:paraId="185B4CAE" w14:textId="77777777" w:rsidR="00432569" w:rsidRPr="004C465F" w:rsidRDefault="00432569" w:rsidP="00432569">
            <w:pPr>
              <w:spacing w:line="240" w:lineRule="auto"/>
              <w:jc w:val="center"/>
              <w:rPr>
                <w:rFonts w:cs="Arial"/>
                <w:b/>
                <w:sz w:val="20"/>
              </w:rPr>
            </w:pPr>
            <w:r>
              <w:rPr>
                <w:b/>
                <w:sz w:val="20"/>
              </w:rPr>
              <w:t>Start of Studies (winter/summer semester)</w:t>
            </w:r>
          </w:p>
        </w:tc>
        <w:tc>
          <w:tcPr>
            <w:tcW w:w="1134" w:type="dxa"/>
            <w:tcBorders>
              <w:top w:val="nil"/>
              <w:left w:val="nil"/>
              <w:bottom w:val="single" w:sz="8" w:space="0" w:color="auto"/>
              <w:right w:val="single" w:sz="8" w:space="0" w:color="auto"/>
            </w:tcBorders>
          </w:tcPr>
          <w:p w14:paraId="0199774C" w14:textId="747DD622" w:rsidR="00432569" w:rsidRPr="004C465F" w:rsidRDefault="00773A8D" w:rsidP="00432569">
            <w:pPr>
              <w:spacing w:line="240" w:lineRule="auto"/>
              <w:jc w:val="center"/>
              <w:rPr>
                <w:rFonts w:cs="Arial"/>
                <w:b/>
                <w:sz w:val="20"/>
              </w:rPr>
            </w:pPr>
            <w:r>
              <w:rPr>
                <w:b/>
                <w:sz w:val="20"/>
              </w:rPr>
              <w:t>Mandatory</w:t>
            </w:r>
            <w:r w:rsidR="00432569">
              <w:rPr>
                <w:b/>
                <w:sz w:val="20"/>
              </w:rPr>
              <w:t>/Elective</w:t>
            </w:r>
          </w:p>
        </w:tc>
        <w:tc>
          <w:tcPr>
            <w:tcW w:w="850" w:type="dxa"/>
            <w:tcBorders>
              <w:top w:val="nil"/>
              <w:left w:val="nil"/>
              <w:bottom w:val="single" w:sz="8" w:space="0" w:color="auto"/>
              <w:right w:val="single" w:sz="8" w:space="0" w:color="auto"/>
            </w:tcBorders>
          </w:tcPr>
          <w:p w14:paraId="7782480B" w14:textId="77777777" w:rsidR="00432569" w:rsidRPr="004C465F" w:rsidRDefault="00432569" w:rsidP="00432569">
            <w:pPr>
              <w:spacing w:line="240" w:lineRule="auto"/>
              <w:jc w:val="center"/>
            </w:pPr>
            <w:r>
              <w:rPr>
                <w:b/>
              </w:rPr>
              <w:t>SWS</w:t>
            </w:r>
          </w:p>
        </w:tc>
        <w:tc>
          <w:tcPr>
            <w:tcW w:w="709" w:type="dxa"/>
            <w:tcBorders>
              <w:top w:val="nil"/>
              <w:left w:val="nil"/>
              <w:bottom w:val="single" w:sz="8" w:space="0" w:color="auto"/>
              <w:right w:val="single" w:sz="8" w:space="0" w:color="auto"/>
            </w:tcBorders>
          </w:tcPr>
          <w:p w14:paraId="5C12B8FE" w14:textId="77777777" w:rsidR="00432569" w:rsidRPr="004C465F" w:rsidRDefault="00432569" w:rsidP="00432569">
            <w:pPr>
              <w:spacing w:line="240" w:lineRule="auto"/>
              <w:jc w:val="center"/>
              <w:rPr>
                <w:rFonts w:cs="Arial"/>
                <w:b/>
                <w:sz w:val="20"/>
              </w:rPr>
            </w:pPr>
            <w:r>
              <w:rPr>
                <w:b/>
                <w:sz w:val="20"/>
              </w:rPr>
              <w:t>ECTS</w:t>
            </w:r>
          </w:p>
        </w:tc>
        <w:tc>
          <w:tcPr>
            <w:tcW w:w="1683" w:type="dxa"/>
            <w:tcBorders>
              <w:top w:val="nil"/>
              <w:left w:val="nil"/>
              <w:bottom w:val="single" w:sz="8" w:space="0" w:color="auto"/>
              <w:right w:val="single" w:sz="4" w:space="0" w:color="auto"/>
            </w:tcBorders>
          </w:tcPr>
          <w:p w14:paraId="554FDC56" w14:textId="11350E76" w:rsidR="00432569" w:rsidRPr="004C465F" w:rsidRDefault="0077265C" w:rsidP="00432569">
            <w:pPr>
              <w:spacing w:line="240" w:lineRule="auto"/>
              <w:jc w:val="center"/>
              <w:rPr>
                <w:rFonts w:cs="Arial"/>
                <w:b/>
                <w:sz w:val="20"/>
              </w:rPr>
            </w:pPr>
            <w:r>
              <w:rPr>
                <w:b/>
                <w:sz w:val="20"/>
              </w:rPr>
              <w:t>C</w:t>
            </w:r>
            <w:r w:rsidR="00432569">
              <w:rPr>
                <w:b/>
                <w:sz w:val="20"/>
              </w:rPr>
              <w:t>oursework</w:t>
            </w:r>
          </w:p>
        </w:tc>
      </w:tr>
      <w:tr w:rsidR="00432569" w:rsidRPr="004C465F" w14:paraId="1832F397" w14:textId="77777777" w:rsidTr="00432569">
        <w:trPr>
          <w:cantSplit/>
          <w:trHeight w:val="340"/>
        </w:trPr>
        <w:tc>
          <w:tcPr>
            <w:tcW w:w="2782" w:type="dxa"/>
            <w:tcBorders>
              <w:top w:val="nil"/>
              <w:left w:val="single" w:sz="8" w:space="0" w:color="auto"/>
              <w:bottom w:val="single" w:sz="4" w:space="0" w:color="auto"/>
              <w:right w:val="single" w:sz="8" w:space="0" w:color="auto"/>
            </w:tcBorders>
            <w:vAlign w:val="center"/>
          </w:tcPr>
          <w:p w14:paraId="5CAB2460" w14:textId="77777777" w:rsidR="00432569" w:rsidRPr="004C465F" w:rsidRDefault="00432569" w:rsidP="00432569">
            <w:pPr>
              <w:spacing w:line="240" w:lineRule="auto"/>
              <w:rPr>
                <w:rFonts w:cs="Arial"/>
                <w:sz w:val="20"/>
              </w:rPr>
            </w:pPr>
            <w:r>
              <w:rPr>
                <w:sz w:val="20"/>
              </w:rPr>
              <w:t>Basics of...</w:t>
            </w:r>
          </w:p>
        </w:tc>
        <w:tc>
          <w:tcPr>
            <w:tcW w:w="567" w:type="dxa"/>
            <w:tcBorders>
              <w:top w:val="single" w:sz="8" w:space="0" w:color="auto"/>
              <w:left w:val="nil"/>
              <w:bottom w:val="single" w:sz="8" w:space="0" w:color="auto"/>
              <w:right w:val="single" w:sz="8" w:space="0" w:color="auto"/>
            </w:tcBorders>
            <w:vAlign w:val="center"/>
          </w:tcPr>
          <w:p w14:paraId="2C9F5536" w14:textId="77777777" w:rsidR="00432569" w:rsidRPr="004C465F" w:rsidRDefault="00432569" w:rsidP="00432569">
            <w:pPr>
              <w:spacing w:line="240" w:lineRule="auto"/>
              <w:jc w:val="center"/>
              <w:rPr>
                <w:rFonts w:cs="Arial"/>
                <w:sz w:val="20"/>
              </w:rPr>
            </w:pPr>
            <w:r>
              <w:rPr>
                <w:sz w:val="20"/>
              </w:rPr>
              <w:t>V</w:t>
            </w:r>
          </w:p>
        </w:tc>
        <w:tc>
          <w:tcPr>
            <w:tcW w:w="1559" w:type="dxa"/>
            <w:tcBorders>
              <w:top w:val="single" w:sz="8" w:space="0" w:color="auto"/>
              <w:left w:val="nil"/>
              <w:bottom w:val="single" w:sz="8" w:space="0" w:color="auto"/>
              <w:right w:val="single" w:sz="8" w:space="0" w:color="auto"/>
            </w:tcBorders>
            <w:vAlign w:val="center"/>
          </w:tcPr>
          <w:p w14:paraId="7794C664" w14:textId="77777777" w:rsidR="00432569" w:rsidRPr="004C465F" w:rsidRDefault="00432569" w:rsidP="00432569">
            <w:pPr>
              <w:spacing w:line="240" w:lineRule="auto"/>
              <w:jc w:val="center"/>
              <w:rPr>
                <w:rFonts w:cs="Arial"/>
                <w:sz w:val="20"/>
              </w:rPr>
            </w:pPr>
            <w:r>
              <w:rPr>
                <w:sz w:val="20"/>
              </w:rPr>
              <w:t>1, 2</w:t>
            </w:r>
          </w:p>
        </w:tc>
        <w:tc>
          <w:tcPr>
            <w:tcW w:w="1134" w:type="dxa"/>
            <w:tcBorders>
              <w:top w:val="nil"/>
              <w:left w:val="nil"/>
              <w:bottom w:val="single" w:sz="8" w:space="0" w:color="auto"/>
              <w:right w:val="single" w:sz="8" w:space="0" w:color="auto"/>
            </w:tcBorders>
            <w:vAlign w:val="center"/>
          </w:tcPr>
          <w:p w14:paraId="218BD900" w14:textId="77777777" w:rsidR="00432569" w:rsidRPr="004C465F" w:rsidRDefault="00432569" w:rsidP="00432569">
            <w:pPr>
              <w:spacing w:line="240" w:lineRule="auto"/>
              <w:jc w:val="center"/>
              <w:rPr>
                <w:rFonts w:cs="Arial"/>
                <w:sz w:val="20"/>
              </w:rPr>
            </w:pPr>
            <w:r>
              <w:rPr>
                <w:sz w:val="20"/>
              </w:rPr>
              <w:t>P</w:t>
            </w:r>
          </w:p>
        </w:tc>
        <w:tc>
          <w:tcPr>
            <w:tcW w:w="850" w:type="dxa"/>
            <w:tcBorders>
              <w:top w:val="nil"/>
              <w:left w:val="nil"/>
              <w:bottom w:val="single" w:sz="8" w:space="0" w:color="auto"/>
              <w:right w:val="single" w:sz="8" w:space="0" w:color="auto"/>
            </w:tcBorders>
            <w:vAlign w:val="center"/>
          </w:tcPr>
          <w:p w14:paraId="0D10936B" w14:textId="77777777" w:rsidR="00432569" w:rsidRPr="004C465F" w:rsidRDefault="00432569" w:rsidP="00432569">
            <w:pPr>
              <w:spacing w:line="240" w:lineRule="auto"/>
              <w:jc w:val="center"/>
              <w:rPr>
                <w:rFonts w:cs="Arial"/>
                <w:sz w:val="20"/>
              </w:rPr>
            </w:pPr>
            <w:r>
              <w:rPr>
                <w:sz w:val="20"/>
              </w:rPr>
              <w:t>2</w:t>
            </w:r>
          </w:p>
        </w:tc>
        <w:tc>
          <w:tcPr>
            <w:tcW w:w="709" w:type="dxa"/>
            <w:tcBorders>
              <w:top w:val="nil"/>
              <w:left w:val="nil"/>
              <w:bottom w:val="single" w:sz="8" w:space="0" w:color="auto"/>
              <w:right w:val="single" w:sz="8" w:space="0" w:color="auto"/>
            </w:tcBorders>
            <w:vAlign w:val="center"/>
          </w:tcPr>
          <w:p w14:paraId="4FF42F1C" w14:textId="77777777" w:rsidR="00432569" w:rsidRPr="004C465F" w:rsidRDefault="00432569" w:rsidP="00432569">
            <w:pPr>
              <w:spacing w:line="240" w:lineRule="auto"/>
              <w:jc w:val="center"/>
              <w:rPr>
                <w:rFonts w:cs="Arial"/>
                <w:sz w:val="20"/>
              </w:rPr>
            </w:pPr>
            <w:r>
              <w:rPr>
                <w:sz w:val="20"/>
              </w:rPr>
              <w:t>3</w:t>
            </w:r>
          </w:p>
        </w:tc>
        <w:tc>
          <w:tcPr>
            <w:tcW w:w="1683" w:type="dxa"/>
            <w:tcBorders>
              <w:top w:val="nil"/>
              <w:left w:val="nil"/>
              <w:bottom w:val="single" w:sz="8" w:space="0" w:color="auto"/>
              <w:right w:val="single" w:sz="4" w:space="0" w:color="auto"/>
            </w:tcBorders>
            <w:vAlign w:val="center"/>
          </w:tcPr>
          <w:p w14:paraId="65C02AB3" w14:textId="77777777" w:rsidR="00432569" w:rsidRPr="004C465F" w:rsidRDefault="00432569" w:rsidP="00432569">
            <w:pPr>
              <w:spacing w:line="240" w:lineRule="auto"/>
              <w:jc w:val="center"/>
              <w:rPr>
                <w:rFonts w:cs="Arial"/>
                <w:sz w:val="20"/>
              </w:rPr>
            </w:pPr>
          </w:p>
        </w:tc>
      </w:tr>
      <w:tr w:rsidR="00432569" w:rsidRPr="004C465F" w14:paraId="0BA8DB4F" w14:textId="77777777" w:rsidTr="00432569">
        <w:trPr>
          <w:cantSplit/>
          <w:trHeight w:val="340"/>
        </w:trPr>
        <w:tc>
          <w:tcPr>
            <w:tcW w:w="2782" w:type="dxa"/>
            <w:tcBorders>
              <w:top w:val="single" w:sz="4" w:space="0" w:color="auto"/>
              <w:left w:val="single" w:sz="8" w:space="0" w:color="auto"/>
              <w:bottom w:val="nil"/>
              <w:right w:val="single" w:sz="8" w:space="0" w:color="auto"/>
            </w:tcBorders>
            <w:vAlign w:val="center"/>
          </w:tcPr>
          <w:p w14:paraId="75B7A42B" w14:textId="77777777" w:rsidR="00432569" w:rsidRPr="004C465F" w:rsidRDefault="00432569" w:rsidP="00432569">
            <w:pPr>
              <w:spacing w:line="240" w:lineRule="auto"/>
              <w:rPr>
                <w:rFonts w:cs="Arial"/>
                <w:sz w:val="20"/>
              </w:rPr>
            </w:pPr>
            <w:r>
              <w:rPr>
                <w:sz w:val="20"/>
              </w:rPr>
              <w:t>Sample Seminar I</w:t>
            </w:r>
          </w:p>
        </w:tc>
        <w:tc>
          <w:tcPr>
            <w:tcW w:w="567" w:type="dxa"/>
            <w:tcBorders>
              <w:top w:val="single" w:sz="8" w:space="0" w:color="auto"/>
              <w:left w:val="nil"/>
              <w:bottom w:val="single" w:sz="8" w:space="0" w:color="auto"/>
              <w:right w:val="single" w:sz="8" w:space="0" w:color="auto"/>
            </w:tcBorders>
            <w:vAlign w:val="center"/>
          </w:tcPr>
          <w:p w14:paraId="21220E4B" w14:textId="77777777" w:rsidR="00432569" w:rsidRPr="004C465F" w:rsidRDefault="00432569" w:rsidP="00432569">
            <w:pPr>
              <w:spacing w:line="240" w:lineRule="auto"/>
              <w:jc w:val="center"/>
              <w:rPr>
                <w:rFonts w:cs="Arial"/>
                <w:sz w:val="20"/>
              </w:rPr>
            </w:pPr>
            <w:r>
              <w:rPr>
                <w:sz w:val="20"/>
              </w:rPr>
              <w:t>Ü</w:t>
            </w:r>
          </w:p>
        </w:tc>
        <w:tc>
          <w:tcPr>
            <w:tcW w:w="1559" w:type="dxa"/>
            <w:tcBorders>
              <w:top w:val="single" w:sz="8" w:space="0" w:color="auto"/>
              <w:left w:val="nil"/>
              <w:bottom w:val="single" w:sz="8" w:space="0" w:color="auto"/>
              <w:right w:val="single" w:sz="8" w:space="0" w:color="auto"/>
            </w:tcBorders>
            <w:vAlign w:val="center"/>
          </w:tcPr>
          <w:p w14:paraId="328B12B6" w14:textId="77777777" w:rsidR="00432569" w:rsidRPr="004C465F" w:rsidRDefault="00432569" w:rsidP="00432569">
            <w:pPr>
              <w:spacing w:line="240" w:lineRule="auto"/>
              <w:jc w:val="center"/>
              <w:rPr>
                <w:rFonts w:cs="Arial"/>
                <w:sz w:val="20"/>
              </w:rPr>
            </w:pPr>
            <w:r>
              <w:rPr>
                <w:sz w:val="20"/>
              </w:rPr>
              <w:t>1 (1)</w:t>
            </w:r>
          </w:p>
        </w:tc>
        <w:tc>
          <w:tcPr>
            <w:tcW w:w="1134" w:type="dxa"/>
            <w:tcBorders>
              <w:top w:val="nil"/>
              <w:left w:val="nil"/>
              <w:bottom w:val="nil"/>
              <w:right w:val="single" w:sz="8" w:space="0" w:color="auto"/>
            </w:tcBorders>
            <w:vAlign w:val="center"/>
          </w:tcPr>
          <w:p w14:paraId="1C59A430" w14:textId="77777777" w:rsidR="00432569" w:rsidRPr="004C465F" w:rsidRDefault="00432569" w:rsidP="00432569">
            <w:pPr>
              <w:spacing w:line="240" w:lineRule="auto"/>
              <w:jc w:val="center"/>
              <w:rPr>
                <w:rFonts w:cs="Arial"/>
                <w:sz w:val="20"/>
              </w:rPr>
            </w:pPr>
            <w:r>
              <w:rPr>
                <w:sz w:val="20"/>
              </w:rPr>
              <w:t>WP</w:t>
            </w:r>
          </w:p>
        </w:tc>
        <w:tc>
          <w:tcPr>
            <w:tcW w:w="850" w:type="dxa"/>
            <w:tcBorders>
              <w:top w:val="nil"/>
              <w:left w:val="nil"/>
              <w:bottom w:val="nil"/>
              <w:right w:val="single" w:sz="8" w:space="0" w:color="auto"/>
            </w:tcBorders>
            <w:vAlign w:val="center"/>
          </w:tcPr>
          <w:p w14:paraId="35FC97A3" w14:textId="77777777" w:rsidR="00432569" w:rsidRPr="004C465F" w:rsidRDefault="00432569" w:rsidP="00432569">
            <w:pPr>
              <w:spacing w:line="240" w:lineRule="auto"/>
              <w:jc w:val="center"/>
              <w:rPr>
                <w:rFonts w:cs="Arial"/>
                <w:sz w:val="20"/>
              </w:rPr>
            </w:pPr>
            <w:r>
              <w:rPr>
                <w:sz w:val="20"/>
              </w:rPr>
              <w:t>2</w:t>
            </w:r>
          </w:p>
        </w:tc>
        <w:tc>
          <w:tcPr>
            <w:tcW w:w="709" w:type="dxa"/>
            <w:tcBorders>
              <w:top w:val="nil"/>
              <w:left w:val="nil"/>
              <w:bottom w:val="nil"/>
              <w:right w:val="single" w:sz="8" w:space="0" w:color="auto"/>
            </w:tcBorders>
            <w:vAlign w:val="center"/>
          </w:tcPr>
          <w:p w14:paraId="365205A8" w14:textId="77777777" w:rsidR="00432569" w:rsidRPr="004C465F" w:rsidRDefault="00432569" w:rsidP="00432569">
            <w:pPr>
              <w:spacing w:line="240" w:lineRule="auto"/>
              <w:jc w:val="center"/>
              <w:rPr>
                <w:rFonts w:cs="Arial"/>
                <w:sz w:val="20"/>
              </w:rPr>
            </w:pPr>
            <w:r>
              <w:rPr>
                <w:sz w:val="20"/>
              </w:rPr>
              <w:t>3</w:t>
            </w:r>
          </w:p>
        </w:tc>
        <w:tc>
          <w:tcPr>
            <w:tcW w:w="1683" w:type="dxa"/>
            <w:tcBorders>
              <w:top w:val="nil"/>
              <w:left w:val="nil"/>
              <w:bottom w:val="nil"/>
              <w:right w:val="single" w:sz="4" w:space="0" w:color="auto"/>
            </w:tcBorders>
            <w:vAlign w:val="center"/>
          </w:tcPr>
          <w:p w14:paraId="03AFD5C7" w14:textId="77777777" w:rsidR="00432569" w:rsidRPr="004C465F" w:rsidRDefault="00432569" w:rsidP="00432569">
            <w:pPr>
              <w:spacing w:line="240" w:lineRule="auto"/>
              <w:jc w:val="center"/>
              <w:rPr>
                <w:rFonts w:cs="Arial"/>
                <w:sz w:val="20"/>
              </w:rPr>
            </w:pPr>
            <w:r>
              <w:rPr>
                <w:sz w:val="20"/>
              </w:rPr>
              <w:t>Presentation</w:t>
            </w:r>
          </w:p>
        </w:tc>
      </w:tr>
      <w:tr w:rsidR="00432569" w:rsidRPr="004C465F" w14:paraId="528A67A8" w14:textId="77777777" w:rsidTr="00432569">
        <w:trPr>
          <w:cantSplit/>
          <w:trHeight w:val="340"/>
        </w:trPr>
        <w:tc>
          <w:tcPr>
            <w:tcW w:w="2782" w:type="dxa"/>
            <w:tcBorders>
              <w:top w:val="single" w:sz="8" w:space="0" w:color="auto"/>
              <w:left w:val="single" w:sz="8" w:space="0" w:color="auto"/>
              <w:bottom w:val="double" w:sz="4" w:space="0" w:color="auto"/>
              <w:right w:val="single" w:sz="8" w:space="0" w:color="auto"/>
            </w:tcBorders>
            <w:vAlign w:val="center"/>
          </w:tcPr>
          <w:p w14:paraId="67F21906" w14:textId="77777777" w:rsidR="00432569" w:rsidRPr="004C465F" w:rsidRDefault="00432569" w:rsidP="00432569">
            <w:pPr>
              <w:spacing w:line="240" w:lineRule="auto"/>
              <w:rPr>
                <w:rFonts w:cs="Arial"/>
                <w:sz w:val="20"/>
              </w:rPr>
            </w:pPr>
            <w:r>
              <w:rPr>
                <w:sz w:val="20"/>
              </w:rPr>
              <w:t>Sample Seminar II</w:t>
            </w:r>
          </w:p>
        </w:tc>
        <w:tc>
          <w:tcPr>
            <w:tcW w:w="567" w:type="dxa"/>
            <w:tcBorders>
              <w:top w:val="single" w:sz="8" w:space="0" w:color="auto"/>
              <w:left w:val="nil"/>
              <w:bottom w:val="double" w:sz="4" w:space="0" w:color="auto"/>
              <w:right w:val="single" w:sz="8" w:space="0" w:color="auto"/>
            </w:tcBorders>
            <w:vAlign w:val="center"/>
          </w:tcPr>
          <w:p w14:paraId="4DB6E547" w14:textId="77777777" w:rsidR="00432569" w:rsidRPr="004C465F" w:rsidRDefault="00432569" w:rsidP="00432569">
            <w:pPr>
              <w:spacing w:line="240" w:lineRule="auto"/>
              <w:jc w:val="center"/>
              <w:rPr>
                <w:rFonts w:cs="Arial"/>
                <w:sz w:val="20"/>
              </w:rPr>
            </w:pPr>
            <w:r>
              <w:rPr>
                <w:sz w:val="20"/>
              </w:rPr>
              <w:t>Ü</w:t>
            </w:r>
          </w:p>
        </w:tc>
        <w:tc>
          <w:tcPr>
            <w:tcW w:w="1559" w:type="dxa"/>
            <w:tcBorders>
              <w:top w:val="single" w:sz="8" w:space="0" w:color="auto"/>
              <w:left w:val="nil"/>
              <w:bottom w:val="double" w:sz="4" w:space="0" w:color="auto"/>
              <w:right w:val="single" w:sz="8" w:space="0" w:color="auto"/>
            </w:tcBorders>
            <w:vAlign w:val="center"/>
          </w:tcPr>
          <w:p w14:paraId="7C86B66C" w14:textId="77777777" w:rsidR="00432569" w:rsidRPr="004C465F" w:rsidRDefault="00432569" w:rsidP="00432569">
            <w:pPr>
              <w:spacing w:line="240" w:lineRule="auto"/>
              <w:jc w:val="center"/>
              <w:rPr>
                <w:rFonts w:cs="Arial"/>
                <w:sz w:val="20"/>
              </w:rPr>
            </w:pPr>
            <w:r>
              <w:rPr>
                <w:sz w:val="20"/>
              </w:rPr>
              <w:t>2 (1)</w:t>
            </w:r>
          </w:p>
        </w:tc>
        <w:tc>
          <w:tcPr>
            <w:tcW w:w="1134" w:type="dxa"/>
            <w:tcBorders>
              <w:top w:val="single" w:sz="8" w:space="0" w:color="auto"/>
              <w:left w:val="nil"/>
              <w:bottom w:val="double" w:sz="4" w:space="0" w:color="auto"/>
              <w:right w:val="single" w:sz="8" w:space="0" w:color="auto"/>
            </w:tcBorders>
            <w:vAlign w:val="center"/>
          </w:tcPr>
          <w:p w14:paraId="57114113" w14:textId="77777777" w:rsidR="00432569" w:rsidRPr="004C465F" w:rsidRDefault="00432569" w:rsidP="00432569">
            <w:pPr>
              <w:spacing w:line="240" w:lineRule="auto"/>
              <w:jc w:val="center"/>
              <w:rPr>
                <w:rFonts w:cs="Arial"/>
                <w:sz w:val="20"/>
              </w:rPr>
            </w:pPr>
            <w:r>
              <w:rPr>
                <w:sz w:val="20"/>
              </w:rPr>
              <w:t>WP</w:t>
            </w:r>
          </w:p>
        </w:tc>
        <w:tc>
          <w:tcPr>
            <w:tcW w:w="850" w:type="dxa"/>
            <w:tcBorders>
              <w:top w:val="single" w:sz="8" w:space="0" w:color="auto"/>
              <w:left w:val="nil"/>
              <w:bottom w:val="double" w:sz="4" w:space="0" w:color="auto"/>
              <w:right w:val="single" w:sz="8" w:space="0" w:color="auto"/>
            </w:tcBorders>
            <w:vAlign w:val="center"/>
          </w:tcPr>
          <w:p w14:paraId="4BFA48D9" w14:textId="77777777" w:rsidR="00432569" w:rsidRPr="004C465F" w:rsidRDefault="00432569" w:rsidP="00432569">
            <w:pPr>
              <w:spacing w:line="240" w:lineRule="auto"/>
              <w:jc w:val="center"/>
              <w:rPr>
                <w:rFonts w:cs="Arial"/>
                <w:sz w:val="20"/>
              </w:rPr>
            </w:pPr>
            <w:r>
              <w:rPr>
                <w:sz w:val="20"/>
              </w:rPr>
              <w:t>2</w:t>
            </w:r>
          </w:p>
        </w:tc>
        <w:tc>
          <w:tcPr>
            <w:tcW w:w="709" w:type="dxa"/>
            <w:tcBorders>
              <w:top w:val="single" w:sz="8" w:space="0" w:color="auto"/>
              <w:left w:val="nil"/>
              <w:bottom w:val="double" w:sz="4" w:space="0" w:color="auto"/>
              <w:right w:val="single" w:sz="8" w:space="0" w:color="auto"/>
            </w:tcBorders>
            <w:vAlign w:val="center"/>
          </w:tcPr>
          <w:p w14:paraId="5BC98998" w14:textId="77777777" w:rsidR="00432569" w:rsidRPr="004C465F" w:rsidRDefault="00432569" w:rsidP="00432569">
            <w:pPr>
              <w:spacing w:line="240" w:lineRule="auto"/>
              <w:jc w:val="center"/>
              <w:rPr>
                <w:rFonts w:cs="Arial"/>
                <w:sz w:val="20"/>
              </w:rPr>
            </w:pPr>
            <w:r>
              <w:rPr>
                <w:sz w:val="20"/>
              </w:rPr>
              <w:t>3</w:t>
            </w:r>
          </w:p>
        </w:tc>
        <w:tc>
          <w:tcPr>
            <w:tcW w:w="1683" w:type="dxa"/>
            <w:tcBorders>
              <w:top w:val="single" w:sz="8" w:space="0" w:color="auto"/>
              <w:left w:val="nil"/>
              <w:bottom w:val="double" w:sz="4" w:space="0" w:color="auto"/>
              <w:right w:val="single" w:sz="4" w:space="0" w:color="auto"/>
            </w:tcBorders>
            <w:vAlign w:val="center"/>
          </w:tcPr>
          <w:p w14:paraId="5DB0611C" w14:textId="77777777" w:rsidR="00432569" w:rsidRPr="004C465F" w:rsidRDefault="00432569" w:rsidP="00432569">
            <w:pPr>
              <w:spacing w:line="240" w:lineRule="auto"/>
              <w:jc w:val="center"/>
              <w:rPr>
                <w:rFonts w:cs="Arial"/>
                <w:sz w:val="20"/>
                <w:lang w:val="en-GB"/>
              </w:rPr>
            </w:pPr>
          </w:p>
        </w:tc>
      </w:tr>
      <w:tr w:rsidR="00432569" w:rsidRPr="004C465F" w14:paraId="12502398" w14:textId="77777777" w:rsidTr="00432569">
        <w:trPr>
          <w:cantSplit/>
          <w:trHeight w:val="340"/>
        </w:trPr>
        <w:tc>
          <w:tcPr>
            <w:tcW w:w="2782" w:type="dxa"/>
            <w:tcBorders>
              <w:top w:val="nil"/>
              <w:left w:val="single" w:sz="8" w:space="0" w:color="auto"/>
              <w:bottom w:val="single" w:sz="8" w:space="0" w:color="auto"/>
              <w:right w:val="single" w:sz="8" w:space="0" w:color="auto"/>
            </w:tcBorders>
            <w:vAlign w:val="center"/>
          </w:tcPr>
          <w:p w14:paraId="22B774DF" w14:textId="77777777" w:rsidR="00432569" w:rsidRPr="004C465F" w:rsidRDefault="00432569" w:rsidP="00432569">
            <w:pPr>
              <w:spacing w:line="240" w:lineRule="auto"/>
              <w:rPr>
                <w:rFonts w:cs="Arial"/>
                <w:sz w:val="20"/>
              </w:rPr>
            </w:pPr>
            <w:r>
              <w:rPr>
                <w:b/>
                <w:sz w:val="20"/>
              </w:rPr>
              <w:t>Module examination:</w:t>
            </w:r>
          </w:p>
        </w:tc>
        <w:tc>
          <w:tcPr>
            <w:tcW w:w="6502" w:type="dxa"/>
            <w:gridSpan w:val="6"/>
            <w:tcBorders>
              <w:top w:val="nil"/>
              <w:left w:val="nil"/>
              <w:bottom w:val="single" w:sz="8" w:space="0" w:color="auto"/>
              <w:right w:val="single" w:sz="8" w:space="0" w:color="auto"/>
            </w:tcBorders>
            <w:vAlign w:val="center"/>
          </w:tcPr>
          <w:p w14:paraId="730B4482" w14:textId="77777777" w:rsidR="00432569" w:rsidRPr="004C465F" w:rsidRDefault="00432569" w:rsidP="00432569">
            <w:pPr>
              <w:spacing w:line="240" w:lineRule="auto"/>
              <w:jc w:val="center"/>
              <w:rPr>
                <w:rFonts w:cs="Arial"/>
                <w:sz w:val="20"/>
              </w:rPr>
            </w:pPr>
            <w:r>
              <w:rPr>
                <w:sz w:val="20"/>
              </w:rPr>
              <w:t>Oral examination (15 mins)</w:t>
            </w:r>
          </w:p>
        </w:tc>
      </w:tr>
      <w:tr w:rsidR="00432569" w:rsidRPr="004C465F" w14:paraId="39F4743B" w14:textId="77777777" w:rsidTr="00432569">
        <w:trPr>
          <w:trHeight w:val="340"/>
        </w:trPr>
        <w:tc>
          <w:tcPr>
            <w:tcW w:w="2782" w:type="dxa"/>
            <w:tcBorders>
              <w:top w:val="nil"/>
              <w:left w:val="single" w:sz="8" w:space="0" w:color="auto"/>
              <w:bottom w:val="single" w:sz="8" w:space="0" w:color="auto"/>
              <w:right w:val="single" w:sz="8" w:space="0" w:color="auto"/>
            </w:tcBorders>
            <w:vAlign w:val="center"/>
          </w:tcPr>
          <w:p w14:paraId="27723525" w14:textId="77777777" w:rsidR="00432569" w:rsidRPr="004C465F" w:rsidRDefault="00432569" w:rsidP="00432569">
            <w:pPr>
              <w:spacing w:line="240" w:lineRule="auto"/>
              <w:rPr>
                <w:rFonts w:cs="Arial"/>
                <w:b/>
                <w:sz w:val="20"/>
              </w:rPr>
            </w:pPr>
            <w:r>
              <w:rPr>
                <w:b/>
                <w:sz w:val="20"/>
              </w:rPr>
              <w:t>Total</w:t>
            </w:r>
          </w:p>
        </w:tc>
        <w:tc>
          <w:tcPr>
            <w:tcW w:w="3260" w:type="dxa"/>
            <w:gridSpan w:val="3"/>
            <w:tcBorders>
              <w:top w:val="nil"/>
              <w:left w:val="nil"/>
              <w:bottom w:val="single" w:sz="8" w:space="0" w:color="auto"/>
              <w:right w:val="single" w:sz="8" w:space="0" w:color="auto"/>
            </w:tcBorders>
            <w:vAlign w:val="center"/>
          </w:tcPr>
          <w:p w14:paraId="636D8563" w14:textId="77777777" w:rsidR="00432569" w:rsidRPr="004C465F" w:rsidRDefault="00432569" w:rsidP="00432569">
            <w:pPr>
              <w:spacing w:line="240" w:lineRule="auto"/>
              <w:jc w:val="center"/>
              <w:rPr>
                <w:rFonts w:cs="Arial"/>
                <w:sz w:val="20"/>
              </w:rPr>
            </w:pPr>
          </w:p>
        </w:tc>
        <w:tc>
          <w:tcPr>
            <w:tcW w:w="850" w:type="dxa"/>
            <w:tcBorders>
              <w:top w:val="nil"/>
              <w:left w:val="nil"/>
              <w:bottom w:val="single" w:sz="8" w:space="0" w:color="auto"/>
              <w:right w:val="single" w:sz="8" w:space="0" w:color="auto"/>
            </w:tcBorders>
            <w:vAlign w:val="center"/>
          </w:tcPr>
          <w:p w14:paraId="7BA30299" w14:textId="77777777" w:rsidR="00432569" w:rsidRPr="004C465F" w:rsidRDefault="00432569" w:rsidP="00432569">
            <w:pPr>
              <w:spacing w:line="240" w:lineRule="auto"/>
              <w:jc w:val="center"/>
              <w:rPr>
                <w:rFonts w:cs="Arial"/>
                <w:b/>
                <w:sz w:val="20"/>
              </w:rPr>
            </w:pPr>
            <w:r>
              <w:rPr>
                <w:b/>
                <w:sz w:val="20"/>
              </w:rPr>
              <w:t>6 SWS</w:t>
            </w:r>
          </w:p>
        </w:tc>
        <w:tc>
          <w:tcPr>
            <w:tcW w:w="709" w:type="dxa"/>
            <w:tcBorders>
              <w:top w:val="nil"/>
              <w:left w:val="nil"/>
              <w:bottom w:val="single" w:sz="8" w:space="0" w:color="auto"/>
              <w:right w:val="single" w:sz="8" w:space="0" w:color="auto"/>
            </w:tcBorders>
            <w:vAlign w:val="center"/>
          </w:tcPr>
          <w:p w14:paraId="37A7AD68" w14:textId="77777777" w:rsidR="00432569" w:rsidRPr="004C465F" w:rsidRDefault="00432569" w:rsidP="00432569">
            <w:pPr>
              <w:spacing w:line="240" w:lineRule="auto"/>
              <w:jc w:val="center"/>
              <w:rPr>
                <w:rFonts w:cs="Arial"/>
                <w:b/>
                <w:sz w:val="20"/>
              </w:rPr>
            </w:pPr>
            <w:r>
              <w:rPr>
                <w:b/>
                <w:sz w:val="20"/>
              </w:rPr>
              <w:t>9 ECTS</w:t>
            </w:r>
          </w:p>
        </w:tc>
        <w:tc>
          <w:tcPr>
            <w:tcW w:w="1683" w:type="dxa"/>
            <w:tcBorders>
              <w:top w:val="nil"/>
              <w:left w:val="nil"/>
              <w:bottom w:val="single" w:sz="8" w:space="0" w:color="auto"/>
              <w:right w:val="single" w:sz="8" w:space="0" w:color="auto"/>
            </w:tcBorders>
            <w:vAlign w:val="center"/>
          </w:tcPr>
          <w:p w14:paraId="36B43225" w14:textId="77777777" w:rsidR="00432569" w:rsidRPr="004C465F" w:rsidRDefault="00432569" w:rsidP="00432569">
            <w:pPr>
              <w:spacing w:line="240" w:lineRule="auto"/>
              <w:jc w:val="center"/>
              <w:rPr>
                <w:rFonts w:cs="Arial"/>
                <w:b/>
                <w:sz w:val="20"/>
              </w:rPr>
            </w:pPr>
          </w:p>
        </w:tc>
      </w:tr>
    </w:tbl>
    <w:p w14:paraId="721BDD83" w14:textId="77777777" w:rsidR="00432569" w:rsidRPr="004C465F" w:rsidRDefault="00432569" w:rsidP="00432569">
      <w:pPr>
        <w:rPr>
          <w:rFonts w:cs="Arial"/>
          <w:sz w:val="20"/>
        </w:rPr>
      </w:pPr>
    </w:p>
    <w:p w14:paraId="320DE1E0" w14:textId="77777777" w:rsidR="00432569" w:rsidRPr="00364799" w:rsidRDefault="00432569" w:rsidP="00432569">
      <w:pPr>
        <w:rPr>
          <w:rFonts w:cs="Arial"/>
          <w:b/>
          <w:sz w:val="20"/>
        </w:rPr>
      </w:pPr>
      <w:r>
        <w:rPr>
          <w:b/>
          <w:sz w:val="20"/>
        </w:rPr>
        <w:t>Abbreviations:</w:t>
      </w:r>
    </w:p>
    <w:p w14:paraId="599F2ECE" w14:textId="77777777" w:rsidR="00432569" w:rsidRPr="00364799" w:rsidRDefault="00432569" w:rsidP="00432569">
      <w:pPr>
        <w:rPr>
          <w:rFonts w:cs="Arial"/>
          <w:sz w:val="20"/>
        </w:rPr>
      </w:pPr>
    </w:p>
    <w:p w14:paraId="4AD38C45" w14:textId="77777777" w:rsidR="00432569" w:rsidRPr="00A56E53" w:rsidRDefault="00432569" w:rsidP="00432569">
      <w:pPr>
        <w:tabs>
          <w:tab w:val="left" w:pos="720"/>
          <w:tab w:val="left" w:pos="1560"/>
        </w:tabs>
        <w:rPr>
          <w:rFonts w:cs="Arial"/>
          <w:sz w:val="20"/>
          <w:highlight w:val="yellow"/>
        </w:rPr>
      </w:pPr>
      <w:r w:rsidRPr="00A56E53">
        <w:rPr>
          <w:sz w:val="20"/>
          <w:highlight w:val="yellow"/>
        </w:rPr>
        <w:t>HS</w:t>
      </w:r>
      <w:r w:rsidRPr="00A56E53">
        <w:rPr>
          <w:sz w:val="20"/>
          <w:highlight w:val="yellow"/>
        </w:rPr>
        <w:tab/>
        <w:t>=</w:t>
      </w:r>
      <w:r w:rsidRPr="00A56E53">
        <w:rPr>
          <w:sz w:val="20"/>
          <w:highlight w:val="yellow"/>
        </w:rPr>
        <w:tab/>
        <w:t>Hauptseminar (Advanced Seminar)</w:t>
      </w:r>
    </w:p>
    <w:p w14:paraId="30B92170" w14:textId="77777777" w:rsidR="00432569" w:rsidRPr="00A56E53" w:rsidRDefault="00432569" w:rsidP="00432569">
      <w:pPr>
        <w:tabs>
          <w:tab w:val="left" w:pos="720"/>
          <w:tab w:val="left" w:pos="1560"/>
        </w:tabs>
        <w:rPr>
          <w:rFonts w:cs="Arial"/>
          <w:sz w:val="20"/>
          <w:highlight w:val="yellow"/>
        </w:rPr>
      </w:pPr>
      <w:r w:rsidRPr="00A56E53">
        <w:rPr>
          <w:sz w:val="20"/>
          <w:highlight w:val="yellow"/>
        </w:rPr>
        <w:t>OS</w:t>
      </w:r>
      <w:r w:rsidRPr="00A56E53">
        <w:rPr>
          <w:sz w:val="20"/>
          <w:highlight w:val="yellow"/>
        </w:rPr>
        <w:tab/>
        <w:t>=</w:t>
      </w:r>
      <w:r w:rsidRPr="00A56E53">
        <w:rPr>
          <w:sz w:val="20"/>
          <w:highlight w:val="yellow"/>
        </w:rPr>
        <w:tab/>
        <w:t>Oberseminar (Graduate Seminar)</w:t>
      </w:r>
    </w:p>
    <w:p w14:paraId="49448E84" w14:textId="77777777" w:rsidR="00432569" w:rsidRPr="00A56E53" w:rsidRDefault="00432569" w:rsidP="00432569">
      <w:pPr>
        <w:tabs>
          <w:tab w:val="left" w:pos="720"/>
          <w:tab w:val="left" w:pos="1560"/>
        </w:tabs>
        <w:rPr>
          <w:rFonts w:cs="Arial"/>
          <w:sz w:val="20"/>
          <w:highlight w:val="yellow"/>
        </w:rPr>
      </w:pPr>
      <w:r w:rsidRPr="00A56E53">
        <w:rPr>
          <w:sz w:val="20"/>
          <w:highlight w:val="yellow"/>
        </w:rPr>
        <w:lastRenderedPageBreak/>
        <w:t>P</w:t>
      </w:r>
      <w:r w:rsidRPr="00A56E53">
        <w:rPr>
          <w:sz w:val="20"/>
          <w:highlight w:val="yellow"/>
        </w:rPr>
        <w:tab/>
        <w:t>=</w:t>
      </w:r>
      <w:r w:rsidRPr="00A56E53">
        <w:rPr>
          <w:sz w:val="20"/>
          <w:highlight w:val="yellow"/>
        </w:rPr>
        <w:tab/>
        <w:t>Pflichtveranstaltung (Mandatory Course)</w:t>
      </w:r>
    </w:p>
    <w:p w14:paraId="661C4D12" w14:textId="77777777" w:rsidR="00432569" w:rsidRPr="00A56E53" w:rsidRDefault="00432569" w:rsidP="00432569">
      <w:pPr>
        <w:tabs>
          <w:tab w:val="left" w:pos="720"/>
          <w:tab w:val="left" w:pos="1560"/>
        </w:tabs>
        <w:rPr>
          <w:rFonts w:cs="Arial"/>
          <w:sz w:val="20"/>
          <w:highlight w:val="yellow"/>
        </w:rPr>
      </w:pPr>
      <w:r w:rsidRPr="00A56E53">
        <w:rPr>
          <w:sz w:val="20"/>
          <w:highlight w:val="yellow"/>
        </w:rPr>
        <w:t>Pr</w:t>
      </w:r>
      <w:r w:rsidRPr="00A56E53">
        <w:rPr>
          <w:sz w:val="20"/>
          <w:highlight w:val="yellow"/>
        </w:rPr>
        <w:tab/>
        <w:t>=</w:t>
      </w:r>
      <w:r w:rsidRPr="00A56E53">
        <w:rPr>
          <w:sz w:val="20"/>
          <w:highlight w:val="yellow"/>
        </w:rPr>
        <w:tab/>
        <w:t>Praktikum (Internship)</w:t>
      </w:r>
    </w:p>
    <w:p w14:paraId="66C593B0" w14:textId="68BD4355" w:rsidR="00432569" w:rsidRPr="00A56E53" w:rsidRDefault="00432569" w:rsidP="00432569">
      <w:pPr>
        <w:tabs>
          <w:tab w:val="left" w:pos="720"/>
          <w:tab w:val="left" w:pos="1560"/>
        </w:tabs>
        <w:rPr>
          <w:rFonts w:cs="Arial"/>
          <w:sz w:val="20"/>
          <w:highlight w:val="yellow"/>
        </w:rPr>
      </w:pPr>
      <w:r w:rsidRPr="00A56E53">
        <w:rPr>
          <w:sz w:val="20"/>
          <w:highlight w:val="yellow"/>
        </w:rPr>
        <w:t>PrS</w:t>
      </w:r>
      <w:r w:rsidRPr="00A56E53">
        <w:rPr>
          <w:sz w:val="20"/>
          <w:highlight w:val="yellow"/>
        </w:rPr>
        <w:tab/>
        <w:t>=</w:t>
      </w:r>
      <w:r w:rsidRPr="00A56E53">
        <w:rPr>
          <w:sz w:val="20"/>
          <w:highlight w:val="yellow"/>
        </w:rPr>
        <w:tab/>
        <w:t>Proseminar (</w:t>
      </w:r>
      <w:r w:rsidR="00D86753">
        <w:rPr>
          <w:sz w:val="20"/>
          <w:highlight w:val="yellow"/>
        </w:rPr>
        <w:t>Proseminar</w:t>
      </w:r>
      <w:r w:rsidRPr="00A56E53">
        <w:rPr>
          <w:sz w:val="20"/>
          <w:highlight w:val="yellow"/>
        </w:rPr>
        <w:t>)</w:t>
      </w:r>
    </w:p>
    <w:p w14:paraId="44BFB335" w14:textId="6D2BB0E6" w:rsidR="00432569" w:rsidRPr="00A56E53" w:rsidRDefault="00432569" w:rsidP="00432569">
      <w:pPr>
        <w:tabs>
          <w:tab w:val="left" w:pos="720"/>
          <w:tab w:val="left" w:pos="1560"/>
        </w:tabs>
        <w:rPr>
          <w:rFonts w:cs="Arial"/>
          <w:sz w:val="20"/>
          <w:highlight w:val="yellow"/>
        </w:rPr>
      </w:pPr>
      <w:r w:rsidRPr="00A56E53">
        <w:rPr>
          <w:sz w:val="20"/>
          <w:highlight w:val="yellow"/>
        </w:rPr>
        <w:t>Ü</w:t>
      </w:r>
      <w:r w:rsidRPr="00A56E53">
        <w:rPr>
          <w:sz w:val="20"/>
          <w:highlight w:val="yellow"/>
        </w:rPr>
        <w:tab/>
        <w:t>=</w:t>
      </w:r>
      <w:r w:rsidRPr="00A56E53">
        <w:rPr>
          <w:sz w:val="20"/>
          <w:highlight w:val="yellow"/>
        </w:rPr>
        <w:tab/>
        <w:t>Übung (</w:t>
      </w:r>
      <w:r w:rsidR="00EA7853">
        <w:rPr>
          <w:sz w:val="20"/>
          <w:highlight w:val="yellow"/>
        </w:rPr>
        <w:t>Practice Class</w:t>
      </w:r>
      <w:r w:rsidRPr="00A56E53">
        <w:rPr>
          <w:sz w:val="20"/>
          <w:highlight w:val="yellow"/>
        </w:rPr>
        <w:t>)</w:t>
      </w:r>
    </w:p>
    <w:p w14:paraId="094AE428" w14:textId="77777777" w:rsidR="00432569" w:rsidRPr="00A56E53" w:rsidRDefault="00432569" w:rsidP="00432569">
      <w:pPr>
        <w:tabs>
          <w:tab w:val="left" w:pos="720"/>
          <w:tab w:val="left" w:pos="1560"/>
        </w:tabs>
        <w:rPr>
          <w:rFonts w:cs="Arial"/>
          <w:sz w:val="20"/>
          <w:highlight w:val="yellow"/>
        </w:rPr>
      </w:pPr>
      <w:r w:rsidRPr="00A56E53">
        <w:rPr>
          <w:sz w:val="20"/>
          <w:highlight w:val="yellow"/>
        </w:rPr>
        <w:t>V</w:t>
      </w:r>
      <w:r w:rsidRPr="00A56E53">
        <w:rPr>
          <w:sz w:val="20"/>
          <w:highlight w:val="yellow"/>
        </w:rPr>
        <w:tab/>
        <w:t>=</w:t>
      </w:r>
      <w:r w:rsidRPr="00A56E53">
        <w:rPr>
          <w:sz w:val="20"/>
          <w:highlight w:val="yellow"/>
        </w:rPr>
        <w:tab/>
        <w:t>Vorlesung (Lecture)</w:t>
      </w:r>
    </w:p>
    <w:p w14:paraId="191F753A" w14:textId="77777777" w:rsidR="00432569" w:rsidRPr="00364799" w:rsidRDefault="00432569" w:rsidP="00432569">
      <w:pPr>
        <w:tabs>
          <w:tab w:val="left" w:pos="720"/>
          <w:tab w:val="left" w:pos="1560"/>
        </w:tabs>
        <w:rPr>
          <w:rFonts w:cs="Arial"/>
          <w:sz w:val="20"/>
        </w:rPr>
      </w:pPr>
      <w:r w:rsidRPr="00A56E53">
        <w:rPr>
          <w:sz w:val="20"/>
          <w:highlight w:val="yellow"/>
        </w:rPr>
        <w:t>WP</w:t>
      </w:r>
      <w:r w:rsidRPr="00A56E53">
        <w:rPr>
          <w:sz w:val="20"/>
          <w:highlight w:val="yellow"/>
        </w:rPr>
        <w:tab/>
        <w:t>=</w:t>
      </w:r>
      <w:r w:rsidRPr="00A56E53">
        <w:rPr>
          <w:sz w:val="20"/>
          <w:highlight w:val="yellow"/>
        </w:rPr>
        <w:tab/>
        <w:t>Wahlpflichtveranstaltung (Elective Course)</w:t>
      </w:r>
    </w:p>
    <w:p w14:paraId="1A0A461E" w14:textId="77777777" w:rsidR="00432569" w:rsidRDefault="00432569" w:rsidP="007D42CC"/>
    <w:p w14:paraId="5FAD650B" w14:textId="77777777" w:rsidR="00432569" w:rsidRDefault="00432569" w:rsidP="007D42CC"/>
    <w:p w14:paraId="31A1B899" w14:textId="77777777" w:rsidR="00D86753" w:rsidRDefault="00D86753" w:rsidP="007D42CC"/>
    <w:sectPr w:rsidR="00D8675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F336A" w14:textId="77777777" w:rsidR="005E2EC3" w:rsidRDefault="005E2EC3" w:rsidP="00035E0A">
      <w:pPr>
        <w:spacing w:after="0" w:line="240" w:lineRule="auto"/>
      </w:pPr>
      <w:r>
        <w:separator/>
      </w:r>
    </w:p>
  </w:endnote>
  <w:endnote w:type="continuationSeparator" w:id="0">
    <w:p w14:paraId="6FADCEAB" w14:textId="77777777" w:rsidR="005E2EC3" w:rsidRDefault="005E2EC3" w:rsidP="0003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E632E" w14:textId="77777777" w:rsidR="005E2EC3" w:rsidRDefault="005E2EC3" w:rsidP="00035E0A">
      <w:pPr>
        <w:spacing w:after="0" w:line="240" w:lineRule="auto"/>
      </w:pPr>
      <w:r>
        <w:separator/>
      </w:r>
    </w:p>
  </w:footnote>
  <w:footnote w:type="continuationSeparator" w:id="0">
    <w:p w14:paraId="238E314F" w14:textId="77777777" w:rsidR="005E2EC3" w:rsidRDefault="005E2EC3" w:rsidP="00035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1777"/>
    <w:multiLevelType w:val="hybridMultilevel"/>
    <w:tmpl w:val="B428C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C81044"/>
    <w:multiLevelType w:val="hybridMultilevel"/>
    <w:tmpl w:val="43963200"/>
    <w:lvl w:ilvl="0" w:tplc="0407000F">
      <w:start w:val="1"/>
      <w:numFmt w:val="decimal"/>
      <w:lvlText w:val="%1."/>
      <w:lvlJc w:val="left"/>
      <w:pPr>
        <w:tabs>
          <w:tab w:val="num" w:pos="1093"/>
        </w:tabs>
        <w:ind w:left="1093" w:hanging="360"/>
      </w:pPr>
    </w:lvl>
    <w:lvl w:ilvl="1" w:tplc="04070019" w:tentative="1">
      <w:start w:val="1"/>
      <w:numFmt w:val="lowerLetter"/>
      <w:lvlText w:val="%2."/>
      <w:lvlJc w:val="left"/>
      <w:pPr>
        <w:tabs>
          <w:tab w:val="num" w:pos="1813"/>
        </w:tabs>
        <w:ind w:left="1813" w:hanging="360"/>
      </w:pPr>
    </w:lvl>
    <w:lvl w:ilvl="2" w:tplc="0407001B" w:tentative="1">
      <w:start w:val="1"/>
      <w:numFmt w:val="lowerRoman"/>
      <w:lvlText w:val="%3."/>
      <w:lvlJc w:val="right"/>
      <w:pPr>
        <w:tabs>
          <w:tab w:val="num" w:pos="2533"/>
        </w:tabs>
        <w:ind w:left="2533" w:hanging="180"/>
      </w:pPr>
    </w:lvl>
    <w:lvl w:ilvl="3" w:tplc="0407000F" w:tentative="1">
      <w:start w:val="1"/>
      <w:numFmt w:val="decimal"/>
      <w:lvlText w:val="%4."/>
      <w:lvlJc w:val="left"/>
      <w:pPr>
        <w:tabs>
          <w:tab w:val="num" w:pos="3253"/>
        </w:tabs>
        <w:ind w:left="3253" w:hanging="360"/>
      </w:pPr>
    </w:lvl>
    <w:lvl w:ilvl="4" w:tplc="04070019" w:tentative="1">
      <w:start w:val="1"/>
      <w:numFmt w:val="lowerLetter"/>
      <w:lvlText w:val="%5."/>
      <w:lvlJc w:val="left"/>
      <w:pPr>
        <w:tabs>
          <w:tab w:val="num" w:pos="3973"/>
        </w:tabs>
        <w:ind w:left="3973" w:hanging="360"/>
      </w:pPr>
    </w:lvl>
    <w:lvl w:ilvl="5" w:tplc="0407001B" w:tentative="1">
      <w:start w:val="1"/>
      <w:numFmt w:val="lowerRoman"/>
      <w:lvlText w:val="%6."/>
      <w:lvlJc w:val="right"/>
      <w:pPr>
        <w:tabs>
          <w:tab w:val="num" w:pos="4693"/>
        </w:tabs>
        <w:ind w:left="4693" w:hanging="180"/>
      </w:pPr>
    </w:lvl>
    <w:lvl w:ilvl="6" w:tplc="0407000F" w:tentative="1">
      <w:start w:val="1"/>
      <w:numFmt w:val="decimal"/>
      <w:lvlText w:val="%7."/>
      <w:lvlJc w:val="left"/>
      <w:pPr>
        <w:tabs>
          <w:tab w:val="num" w:pos="5413"/>
        </w:tabs>
        <w:ind w:left="5413" w:hanging="360"/>
      </w:pPr>
    </w:lvl>
    <w:lvl w:ilvl="7" w:tplc="04070019" w:tentative="1">
      <w:start w:val="1"/>
      <w:numFmt w:val="lowerLetter"/>
      <w:lvlText w:val="%8."/>
      <w:lvlJc w:val="left"/>
      <w:pPr>
        <w:tabs>
          <w:tab w:val="num" w:pos="6133"/>
        </w:tabs>
        <w:ind w:left="6133" w:hanging="360"/>
      </w:pPr>
    </w:lvl>
    <w:lvl w:ilvl="8" w:tplc="0407001B" w:tentative="1">
      <w:start w:val="1"/>
      <w:numFmt w:val="lowerRoman"/>
      <w:lvlText w:val="%9."/>
      <w:lvlJc w:val="right"/>
      <w:pPr>
        <w:tabs>
          <w:tab w:val="num" w:pos="6853"/>
        </w:tabs>
        <w:ind w:left="6853" w:hanging="180"/>
      </w:pPr>
    </w:lvl>
  </w:abstractNum>
  <w:abstractNum w:abstractNumId="2" w15:restartNumberingAfterBreak="0">
    <w:nsid w:val="0F143400"/>
    <w:multiLevelType w:val="hybridMultilevel"/>
    <w:tmpl w:val="6FC0A958"/>
    <w:lvl w:ilvl="0" w:tplc="04070019">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3" w15:restartNumberingAfterBreak="0">
    <w:nsid w:val="284E6CA6"/>
    <w:multiLevelType w:val="singleLevel"/>
    <w:tmpl w:val="A7F4DE1E"/>
    <w:lvl w:ilvl="0">
      <w:start w:val="1"/>
      <w:numFmt w:val="decimal"/>
      <w:lvlText w:val="%1."/>
      <w:lvlJc w:val="left"/>
      <w:pPr>
        <w:tabs>
          <w:tab w:val="num" w:pos="733"/>
        </w:tabs>
        <w:ind w:left="733" w:hanging="360"/>
      </w:pPr>
      <w:rPr>
        <w:rFonts w:hint="default"/>
      </w:rPr>
    </w:lvl>
  </w:abstractNum>
  <w:abstractNum w:abstractNumId="4" w15:restartNumberingAfterBreak="0">
    <w:nsid w:val="374F1050"/>
    <w:multiLevelType w:val="hybridMultilevel"/>
    <w:tmpl w:val="8878C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376FF7"/>
    <w:multiLevelType w:val="hybridMultilevel"/>
    <w:tmpl w:val="29BEC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8A0091"/>
    <w:multiLevelType w:val="hybridMultilevel"/>
    <w:tmpl w:val="3E56E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8343E4"/>
    <w:multiLevelType w:val="hybridMultilevel"/>
    <w:tmpl w:val="922E7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9641DF"/>
    <w:multiLevelType w:val="hybridMultilevel"/>
    <w:tmpl w:val="E47CE5B0"/>
    <w:lvl w:ilvl="0" w:tplc="CB4CB4C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D8A53A2"/>
    <w:multiLevelType w:val="hybridMultilevel"/>
    <w:tmpl w:val="5F466226"/>
    <w:lvl w:ilvl="0" w:tplc="D7D8F888">
      <w:start w:val="1"/>
      <w:numFmt w:val="decimal"/>
      <w:lvlText w:val="%1."/>
      <w:lvlJc w:val="left"/>
      <w:pPr>
        <w:tabs>
          <w:tab w:val="num" w:pos="780"/>
        </w:tabs>
        <w:ind w:left="7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1"/>
  </w:num>
  <w:num w:numId="4">
    <w:abstractNumId w:val="9"/>
  </w:num>
  <w:num w:numId="5">
    <w:abstractNumId w:val="0"/>
  </w:num>
  <w:num w:numId="6">
    <w:abstractNumId w:val="3"/>
  </w:num>
  <w:num w:numId="7">
    <w:abstractNumId w:val="5"/>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507"/>
    <w:rsid w:val="000029F8"/>
    <w:rsid w:val="0000792A"/>
    <w:rsid w:val="000103FE"/>
    <w:rsid w:val="00022BFD"/>
    <w:rsid w:val="00025479"/>
    <w:rsid w:val="00030C5F"/>
    <w:rsid w:val="00035E0A"/>
    <w:rsid w:val="000552A6"/>
    <w:rsid w:val="00060507"/>
    <w:rsid w:val="000666D5"/>
    <w:rsid w:val="00066FB9"/>
    <w:rsid w:val="0007162D"/>
    <w:rsid w:val="00091C9E"/>
    <w:rsid w:val="000C672E"/>
    <w:rsid w:val="000D2128"/>
    <w:rsid w:val="000D5121"/>
    <w:rsid w:val="000E6DFF"/>
    <w:rsid w:val="000F3661"/>
    <w:rsid w:val="00120CAA"/>
    <w:rsid w:val="00135693"/>
    <w:rsid w:val="001432A6"/>
    <w:rsid w:val="00166C4C"/>
    <w:rsid w:val="00174BAB"/>
    <w:rsid w:val="0017776F"/>
    <w:rsid w:val="00192AC8"/>
    <w:rsid w:val="001A5828"/>
    <w:rsid w:val="001E272C"/>
    <w:rsid w:val="00201369"/>
    <w:rsid w:val="002105D0"/>
    <w:rsid w:val="00247D04"/>
    <w:rsid w:val="00252180"/>
    <w:rsid w:val="002823D1"/>
    <w:rsid w:val="002B001E"/>
    <w:rsid w:val="002B7AD0"/>
    <w:rsid w:val="002C2A76"/>
    <w:rsid w:val="002D3AD1"/>
    <w:rsid w:val="002D476C"/>
    <w:rsid w:val="002E3CFD"/>
    <w:rsid w:val="002E4533"/>
    <w:rsid w:val="003320BF"/>
    <w:rsid w:val="00332496"/>
    <w:rsid w:val="00345E45"/>
    <w:rsid w:val="00364106"/>
    <w:rsid w:val="00364A38"/>
    <w:rsid w:val="00384464"/>
    <w:rsid w:val="003A1BDC"/>
    <w:rsid w:val="003A5FF7"/>
    <w:rsid w:val="003B1EC5"/>
    <w:rsid w:val="003B1F2B"/>
    <w:rsid w:val="003C00E9"/>
    <w:rsid w:val="003D1B56"/>
    <w:rsid w:val="003D3FC8"/>
    <w:rsid w:val="003F00E7"/>
    <w:rsid w:val="003F61D2"/>
    <w:rsid w:val="0041016F"/>
    <w:rsid w:val="004248AA"/>
    <w:rsid w:val="00432569"/>
    <w:rsid w:val="00436E8E"/>
    <w:rsid w:val="004465AA"/>
    <w:rsid w:val="004514E0"/>
    <w:rsid w:val="004534C4"/>
    <w:rsid w:val="00455277"/>
    <w:rsid w:val="00456385"/>
    <w:rsid w:val="004602E4"/>
    <w:rsid w:val="00461405"/>
    <w:rsid w:val="0047051F"/>
    <w:rsid w:val="0048176E"/>
    <w:rsid w:val="004876B7"/>
    <w:rsid w:val="00497F46"/>
    <w:rsid w:val="004A3597"/>
    <w:rsid w:val="004A55DF"/>
    <w:rsid w:val="004A65A3"/>
    <w:rsid w:val="004C750D"/>
    <w:rsid w:val="004E444C"/>
    <w:rsid w:val="00505704"/>
    <w:rsid w:val="00511137"/>
    <w:rsid w:val="00557C46"/>
    <w:rsid w:val="00581039"/>
    <w:rsid w:val="005A14B8"/>
    <w:rsid w:val="005C1227"/>
    <w:rsid w:val="005D5FA4"/>
    <w:rsid w:val="005E2EC3"/>
    <w:rsid w:val="00616F1A"/>
    <w:rsid w:val="00635AFF"/>
    <w:rsid w:val="00650EC3"/>
    <w:rsid w:val="00657B76"/>
    <w:rsid w:val="006657F7"/>
    <w:rsid w:val="00667627"/>
    <w:rsid w:val="00673C7D"/>
    <w:rsid w:val="006814C1"/>
    <w:rsid w:val="00683518"/>
    <w:rsid w:val="00697246"/>
    <w:rsid w:val="006A7FAC"/>
    <w:rsid w:val="006F195E"/>
    <w:rsid w:val="007111B2"/>
    <w:rsid w:val="0073098A"/>
    <w:rsid w:val="007434BE"/>
    <w:rsid w:val="0077265C"/>
    <w:rsid w:val="00773163"/>
    <w:rsid w:val="00773898"/>
    <w:rsid w:val="00773A8D"/>
    <w:rsid w:val="00774C11"/>
    <w:rsid w:val="00793409"/>
    <w:rsid w:val="00797094"/>
    <w:rsid w:val="007A05FD"/>
    <w:rsid w:val="007A5339"/>
    <w:rsid w:val="007B2602"/>
    <w:rsid w:val="007D42CC"/>
    <w:rsid w:val="007D5B17"/>
    <w:rsid w:val="00815C29"/>
    <w:rsid w:val="00816972"/>
    <w:rsid w:val="008427B2"/>
    <w:rsid w:val="00843F67"/>
    <w:rsid w:val="008548FF"/>
    <w:rsid w:val="00886C7A"/>
    <w:rsid w:val="00892961"/>
    <w:rsid w:val="00895A4D"/>
    <w:rsid w:val="008A1B5E"/>
    <w:rsid w:val="008B4894"/>
    <w:rsid w:val="008B5276"/>
    <w:rsid w:val="008B6236"/>
    <w:rsid w:val="008C0AE9"/>
    <w:rsid w:val="008D5335"/>
    <w:rsid w:val="008E2C02"/>
    <w:rsid w:val="008F4351"/>
    <w:rsid w:val="008F758C"/>
    <w:rsid w:val="00902734"/>
    <w:rsid w:val="00911FE8"/>
    <w:rsid w:val="00922ACC"/>
    <w:rsid w:val="00987687"/>
    <w:rsid w:val="009D61C0"/>
    <w:rsid w:val="009D6801"/>
    <w:rsid w:val="009F13AB"/>
    <w:rsid w:val="009F77DE"/>
    <w:rsid w:val="00A15301"/>
    <w:rsid w:val="00A20A34"/>
    <w:rsid w:val="00A33735"/>
    <w:rsid w:val="00A42ADC"/>
    <w:rsid w:val="00A471AF"/>
    <w:rsid w:val="00A513DF"/>
    <w:rsid w:val="00A56E53"/>
    <w:rsid w:val="00AD2641"/>
    <w:rsid w:val="00AD7625"/>
    <w:rsid w:val="00AE1446"/>
    <w:rsid w:val="00AF05F0"/>
    <w:rsid w:val="00AF7418"/>
    <w:rsid w:val="00B23408"/>
    <w:rsid w:val="00B34BE8"/>
    <w:rsid w:val="00B4156A"/>
    <w:rsid w:val="00B453A6"/>
    <w:rsid w:val="00B57370"/>
    <w:rsid w:val="00B72EF5"/>
    <w:rsid w:val="00B84A72"/>
    <w:rsid w:val="00B94D83"/>
    <w:rsid w:val="00BB5827"/>
    <w:rsid w:val="00BB6F28"/>
    <w:rsid w:val="00BC431B"/>
    <w:rsid w:val="00BE1933"/>
    <w:rsid w:val="00C373BF"/>
    <w:rsid w:val="00C522F3"/>
    <w:rsid w:val="00C74E93"/>
    <w:rsid w:val="00C75F48"/>
    <w:rsid w:val="00C92D15"/>
    <w:rsid w:val="00C92D91"/>
    <w:rsid w:val="00CD15A9"/>
    <w:rsid w:val="00CE0343"/>
    <w:rsid w:val="00CE572D"/>
    <w:rsid w:val="00CF0F6D"/>
    <w:rsid w:val="00D04E99"/>
    <w:rsid w:val="00D274C7"/>
    <w:rsid w:val="00D41EA0"/>
    <w:rsid w:val="00D44080"/>
    <w:rsid w:val="00D55AB2"/>
    <w:rsid w:val="00D56D2B"/>
    <w:rsid w:val="00D7429D"/>
    <w:rsid w:val="00D86753"/>
    <w:rsid w:val="00DA2D4A"/>
    <w:rsid w:val="00DB2F2A"/>
    <w:rsid w:val="00DB64D0"/>
    <w:rsid w:val="00DC387C"/>
    <w:rsid w:val="00DD3884"/>
    <w:rsid w:val="00DD5A24"/>
    <w:rsid w:val="00DF7969"/>
    <w:rsid w:val="00E2638F"/>
    <w:rsid w:val="00E34B93"/>
    <w:rsid w:val="00E4371F"/>
    <w:rsid w:val="00E6761C"/>
    <w:rsid w:val="00E71858"/>
    <w:rsid w:val="00E73879"/>
    <w:rsid w:val="00E82922"/>
    <w:rsid w:val="00EA4C47"/>
    <w:rsid w:val="00EA7853"/>
    <w:rsid w:val="00EB067F"/>
    <w:rsid w:val="00EB78AA"/>
    <w:rsid w:val="00EE57F3"/>
    <w:rsid w:val="00F26BDA"/>
    <w:rsid w:val="00F46173"/>
    <w:rsid w:val="00F54D28"/>
    <w:rsid w:val="00F558AB"/>
    <w:rsid w:val="00F601D1"/>
    <w:rsid w:val="00F80BF6"/>
    <w:rsid w:val="00F86AF8"/>
    <w:rsid w:val="00FD57DA"/>
    <w:rsid w:val="00FE6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F922"/>
  <w15:docId w15:val="{887B8E2D-63E4-4587-A926-C23A6E15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60507"/>
    <w:pPr>
      <w:spacing w:after="120" w:line="280" w:lineRule="exact"/>
      <w:jc w:val="both"/>
    </w:pPr>
    <w:rPr>
      <w:rFonts w:ascii="Arial" w:hAnsi="Arial"/>
    </w:rPr>
  </w:style>
  <w:style w:type="paragraph" w:styleId="berschrift1">
    <w:name w:val="heading 1"/>
    <w:basedOn w:val="Standard"/>
    <w:next w:val="Standard"/>
    <w:link w:val="berschrift1Zchn"/>
    <w:uiPriority w:val="9"/>
    <w:qFormat/>
    <w:rsid w:val="0073098A"/>
    <w:pPr>
      <w:keepNext/>
      <w:keepLines/>
      <w:spacing w:before="240"/>
      <w:jc w:val="center"/>
      <w:outlineLvl w:val="0"/>
    </w:pPr>
    <w:rPr>
      <w:rFonts w:eastAsiaTheme="majorEastAsia" w:cstheme="majorBidi"/>
      <w:b/>
      <w:szCs w:val="32"/>
    </w:rPr>
  </w:style>
  <w:style w:type="paragraph" w:styleId="berschrift2">
    <w:name w:val="heading 2"/>
    <w:basedOn w:val="Standard"/>
    <w:next w:val="Standard"/>
    <w:link w:val="berschrift2Zchn"/>
    <w:uiPriority w:val="9"/>
    <w:semiHidden/>
    <w:unhideWhenUsed/>
    <w:qFormat/>
    <w:rsid w:val="00432569"/>
    <w:pPr>
      <w:keepNext/>
      <w:keepLines/>
      <w:spacing w:before="40" w:after="0"/>
      <w:outlineLvl w:val="1"/>
    </w:pPr>
    <w:rPr>
      <w:rFonts w:eastAsiaTheme="majorEastAsia" w:cstheme="majorBid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60507"/>
    <w:pPr>
      <w:spacing w:after="0" w:line="240" w:lineRule="auto"/>
    </w:pPr>
    <w:rPr>
      <w:rFonts w:ascii="Arial" w:hAnsi="Arial"/>
    </w:rPr>
  </w:style>
  <w:style w:type="character" w:customStyle="1" w:styleId="berschrift1Zchn">
    <w:name w:val="Überschrift 1 Zchn"/>
    <w:basedOn w:val="Absatz-Standardschriftart"/>
    <w:link w:val="berschrift1"/>
    <w:uiPriority w:val="9"/>
    <w:rsid w:val="0073098A"/>
    <w:rPr>
      <w:rFonts w:ascii="Arial" w:eastAsiaTheme="majorEastAsia" w:hAnsi="Arial" w:cstheme="majorBidi"/>
      <w:b/>
      <w:szCs w:val="32"/>
    </w:rPr>
  </w:style>
  <w:style w:type="paragraph" w:styleId="Titel">
    <w:name w:val="Title"/>
    <w:basedOn w:val="Standard"/>
    <w:next w:val="Standard"/>
    <w:link w:val="TitelZchn"/>
    <w:uiPriority w:val="10"/>
    <w:qFormat/>
    <w:rsid w:val="0073098A"/>
    <w:pPr>
      <w:spacing w:after="0" w:line="240" w:lineRule="auto"/>
      <w:contextualSpacing/>
      <w:jc w:val="center"/>
    </w:pPr>
    <w:rPr>
      <w:rFonts w:eastAsiaTheme="majorEastAsia" w:cstheme="majorBidi"/>
      <w:b/>
      <w:kern w:val="28"/>
      <w:szCs w:val="56"/>
    </w:rPr>
  </w:style>
  <w:style w:type="character" w:customStyle="1" w:styleId="TitelZchn">
    <w:name w:val="Titel Zchn"/>
    <w:basedOn w:val="Absatz-Standardschriftart"/>
    <w:link w:val="Titel"/>
    <w:uiPriority w:val="10"/>
    <w:rsid w:val="0073098A"/>
    <w:rPr>
      <w:rFonts w:ascii="Arial" w:eastAsiaTheme="majorEastAsia" w:hAnsi="Arial" w:cstheme="majorBidi"/>
      <w:b/>
      <w:kern w:val="28"/>
      <w:szCs w:val="56"/>
    </w:rPr>
  </w:style>
  <w:style w:type="character" w:customStyle="1" w:styleId="berschrift2Zchn">
    <w:name w:val="Überschrift 2 Zchn"/>
    <w:basedOn w:val="Absatz-Standardschriftart"/>
    <w:link w:val="berschrift2"/>
    <w:uiPriority w:val="9"/>
    <w:semiHidden/>
    <w:rsid w:val="00432569"/>
    <w:rPr>
      <w:rFonts w:ascii="Arial" w:eastAsiaTheme="majorEastAsia" w:hAnsi="Arial" w:cstheme="majorBidi"/>
      <w:szCs w:val="26"/>
    </w:rPr>
  </w:style>
  <w:style w:type="character" w:styleId="Kommentarzeichen">
    <w:name w:val="annotation reference"/>
    <w:rsid w:val="0073098A"/>
    <w:rPr>
      <w:vanish/>
      <w:sz w:val="16"/>
    </w:rPr>
  </w:style>
  <w:style w:type="paragraph" w:styleId="Kommentartext">
    <w:name w:val="annotation text"/>
    <w:basedOn w:val="Standard"/>
    <w:link w:val="KommentartextZchn"/>
    <w:rsid w:val="0073098A"/>
    <w:pPr>
      <w:spacing w:after="0" w:line="240" w:lineRule="auto"/>
      <w:jc w:val="left"/>
    </w:pPr>
    <w:rPr>
      <w:rFonts w:eastAsia="Times New Roman" w:cs="Times New Roman"/>
      <w:sz w:val="20"/>
      <w:szCs w:val="20"/>
      <w:lang w:eastAsia="x-none"/>
    </w:rPr>
  </w:style>
  <w:style w:type="character" w:customStyle="1" w:styleId="KommentartextZchn">
    <w:name w:val="Kommentartext Zchn"/>
    <w:basedOn w:val="Absatz-Standardschriftart"/>
    <w:link w:val="Kommentartext"/>
    <w:rsid w:val="0073098A"/>
    <w:rPr>
      <w:rFonts w:ascii="Arial" w:eastAsia="Times New Roman" w:hAnsi="Arial" w:cs="Times New Roman"/>
      <w:sz w:val="20"/>
      <w:szCs w:val="20"/>
      <w:lang w:val="en-US" w:eastAsia="x-none"/>
    </w:rPr>
  </w:style>
  <w:style w:type="paragraph" w:styleId="Textkrper">
    <w:name w:val="Body Text"/>
    <w:basedOn w:val="Standard"/>
    <w:link w:val="TextkrperZchn"/>
    <w:semiHidden/>
    <w:rsid w:val="0073098A"/>
    <w:pPr>
      <w:spacing w:line="280" w:lineRule="atLeast"/>
    </w:pPr>
    <w:rPr>
      <w:rFonts w:eastAsia="Times New Roman" w:cs="Times New Roman"/>
      <w:lang w:eastAsia="de-DE"/>
    </w:rPr>
  </w:style>
  <w:style w:type="character" w:customStyle="1" w:styleId="TextkrperZchn">
    <w:name w:val="Textkörper Zchn"/>
    <w:basedOn w:val="Absatz-Standardschriftart"/>
    <w:link w:val="Textkrper"/>
    <w:semiHidden/>
    <w:rsid w:val="0073098A"/>
    <w:rPr>
      <w:rFonts w:ascii="Arial" w:eastAsia="Times New Roman" w:hAnsi="Arial" w:cs="Times New Roman"/>
      <w:lang w:eastAsia="de-DE"/>
    </w:rPr>
  </w:style>
  <w:style w:type="paragraph" w:styleId="Fuzeile">
    <w:name w:val="footer"/>
    <w:basedOn w:val="Standard"/>
    <w:link w:val="FuzeileZchn"/>
    <w:uiPriority w:val="99"/>
    <w:rsid w:val="0073098A"/>
    <w:pPr>
      <w:tabs>
        <w:tab w:val="center" w:pos="4536"/>
        <w:tab w:val="right" w:pos="9072"/>
      </w:tabs>
      <w:spacing w:after="0" w:line="240" w:lineRule="auto"/>
      <w:jc w:val="left"/>
    </w:pPr>
    <w:rPr>
      <w:rFonts w:eastAsia="Times New Roman" w:cs="Times New Roman"/>
      <w:sz w:val="24"/>
      <w:szCs w:val="20"/>
      <w:lang w:eastAsia="x-none"/>
    </w:rPr>
  </w:style>
  <w:style w:type="character" w:customStyle="1" w:styleId="FuzeileZchn">
    <w:name w:val="Fußzeile Zchn"/>
    <w:basedOn w:val="Absatz-Standardschriftart"/>
    <w:link w:val="Fuzeile"/>
    <w:uiPriority w:val="99"/>
    <w:rsid w:val="0073098A"/>
    <w:rPr>
      <w:rFonts w:ascii="Arial" w:eastAsia="Times New Roman" w:hAnsi="Arial" w:cs="Times New Roman"/>
      <w:sz w:val="24"/>
      <w:szCs w:val="20"/>
      <w:lang w:val="en-US" w:eastAsia="x-none"/>
    </w:rPr>
  </w:style>
  <w:style w:type="paragraph" w:styleId="Sprechblasentext">
    <w:name w:val="Balloon Text"/>
    <w:basedOn w:val="Standard"/>
    <w:link w:val="SprechblasentextZchn"/>
    <w:uiPriority w:val="99"/>
    <w:semiHidden/>
    <w:unhideWhenUsed/>
    <w:rsid w:val="007309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098A"/>
    <w:rPr>
      <w:rFonts w:ascii="Segoe UI" w:hAnsi="Segoe UI" w:cs="Segoe UI"/>
      <w:sz w:val="18"/>
      <w:szCs w:val="18"/>
    </w:rPr>
  </w:style>
  <w:style w:type="paragraph" w:styleId="Funotentext">
    <w:name w:val="footnote text"/>
    <w:basedOn w:val="Standard"/>
    <w:link w:val="FunotentextZchn"/>
    <w:uiPriority w:val="99"/>
    <w:semiHidden/>
    <w:unhideWhenUsed/>
    <w:rsid w:val="00035E0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35E0A"/>
    <w:rPr>
      <w:rFonts w:ascii="Arial" w:hAnsi="Arial"/>
      <w:sz w:val="20"/>
      <w:szCs w:val="20"/>
    </w:rPr>
  </w:style>
  <w:style w:type="character" w:styleId="Funotenzeichen">
    <w:name w:val="footnote reference"/>
    <w:basedOn w:val="Absatz-Standardschriftart"/>
    <w:uiPriority w:val="99"/>
    <w:semiHidden/>
    <w:unhideWhenUsed/>
    <w:rsid w:val="00035E0A"/>
    <w:rPr>
      <w:vertAlign w:val="superscript"/>
    </w:rPr>
  </w:style>
  <w:style w:type="paragraph" w:styleId="Kommentarthema">
    <w:name w:val="annotation subject"/>
    <w:basedOn w:val="Kommentartext"/>
    <w:next w:val="Kommentartext"/>
    <w:link w:val="KommentarthemaZchn"/>
    <w:uiPriority w:val="99"/>
    <w:semiHidden/>
    <w:unhideWhenUsed/>
    <w:rsid w:val="00035E0A"/>
    <w:pPr>
      <w:spacing w:after="120"/>
      <w:jc w:val="both"/>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035E0A"/>
    <w:rPr>
      <w:rFonts w:ascii="Arial" w:eastAsia="Times New Roman" w:hAnsi="Arial" w:cs="Times New Roman"/>
      <w:b/>
      <w:bCs/>
      <w:sz w:val="20"/>
      <w:szCs w:val="20"/>
      <w:lang w:val="en-US" w:eastAsia="x-none"/>
    </w:rPr>
  </w:style>
  <w:style w:type="paragraph" w:styleId="Textkrper-Zeileneinzug">
    <w:name w:val="Body Text Indent"/>
    <w:basedOn w:val="Standard"/>
    <w:link w:val="Textkrper-ZeileneinzugZchn"/>
    <w:uiPriority w:val="99"/>
    <w:semiHidden/>
    <w:unhideWhenUsed/>
    <w:rsid w:val="00CE572D"/>
    <w:pPr>
      <w:ind w:left="283"/>
    </w:pPr>
  </w:style>
  <w:style w:type="character" w:customStyle="1" w:styleId="Textkrper-ZeileneinzugZchn">
    <w:name w:val="Textkörper-Zeileneinzug Zchn"/>
    <w:basedOn w:val="Absatz-Standardschriftart"/>
    <w:link w:val="Textkrper-Zeileneinzug"/>
    <w:uiPriority w:val="99"/>
    <w:semiHidden/>
    <w:rsid w:val="00CE572D"/>
    <w:rPr>
      <w:rFonts w:ascii="Arial" w:hAnsi="Arial"/>
    </w:rPr>
  </w:style>
  <w:style w:type="paragraph" w:styleId="Textkrper2">
    <w:name w:val="Body Text 2"/>
    <w:basedOn w:val="Standard"/>
    <w:link w:val="Textkrper2Zchn"/>
    <w:uiPriority w:val="99"/>
    <w:unhideWhenUsed/>
    <w:rsid w:val="00C75F48"/>
    <w:pPr>
      <w:spacing w:line="480" w:lineRule="auto"/>
    </w:pPr>
  </w:style>
  <w:style w:type="character" w:customStyle="1" w:styleId="Textkrper2Zchn">
    <w:name w:val="Textkörper 2 Zchn"/>
    <w:basedOn w:val="Absatz-Standardschriftart"/>
    <w:link w:val="Textkrper2"/>
    <w:uiPriority w:val="99"/>
    <w:rsid w:val="00C75F48"/>
    <w:rPr>
      <w:rFonts w:ascii="Arial" w:hAnsi="Arial"/>
    </w:rPr>
  </w:style>
  <w:style w:type="paragraph" w:styleId="Textkrper3">
    <w:name w:val="Body Text 3"/>
    <w:basedOn w:val="Standard"/>
    <w:link w:val="Textkrper3Zchn"/>
    <w:uiPriority w:val="99"/>
    <w:semiHidden/>
    <w:unhideWhenUsed/>
    <w:rsid w:val="000F3661"/>
    <w:rPr>
      <w:sz w:val="16"/>
      <w:szCs w:val="16"/>
    </w:rPr>
  </w:style>
  <w:style w:type="character" w:customStyle="1" w:styleId="Textkrper3Zchn">
    <w:name w:val="Textkörper 3 Zchn"/>
    <w:basedOn w:val="Absatz-Standardschriftart"/>
    <w:link w:val="Textkrper3"/>
    <w:uiPriority w:val="99"/>
    <w:semiHidden/>
    <w:rsid w:val="000F3661"/>
    <w:rPr>
      <w:rFonts w:ascii="Arial" w:hAnsi="Arial"/>
      <w:sz w:val="16"/>
      <w:szCs w:val="16"/>
    </w:rPr>
  </w:style>
  <w:style w:type="paragraph" w:styleId="HTMLVorformatiert">
    <w:name w:val="HTML Preformatted"/>
    <w:basedOn w:val="Standard"/>
    <w:link w:val="HTMLVorformatiertZchn"/>
    <w:semiHidden/>
    <w:rsid w:val="000F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Arial Unicode MS" w:eastAsia="Arial Unicode MS" w:hAnsi="Arial Unicode MS" w:cs="Arial Unicode MS"/>
      <w:sz w:val="20"/>
      <w:szCs w:val="20"/>
      <w:lang w:eastAsia="de-DE"/>
    </w:rPr>
  </w:style>
  <w:style w:type="character" w:customStyle="1" w:styleId="HTMLVorformatiertZchn">
    <w:name w:val="HTML Vorformatiert Zchn"/>
    <w:basedOn w:val="Absatz-Standardschriftart"/>
    <w:link w:val="HTMLVorformatiert"/>
    <w:semiHidden/>
    <w:rsid w:val="000F3661"/>
    <w:rPr>
      <w:rFonts w:ascii="Arial Unicode MS" w:eastAsia="Arial Unicode MS" w:hAnsi="Arial Unicode MS" w:cs="Arial Unicode MS"/>
      <w:sz w:val="20"/>
      <w:szCs w:val="20"/>
      <w:lang w:eastAsia="de-DE"/>
    </w:rPr>
  </w:style>
  <w:style w:type="paragraph" w:customStyle="1" w:styleId="grundabsatzlayout">
    <w:name w:val="grundabsatzlayout"/>
    <w:basedOn w:val="Standard"/>
    <w:rsid w:val="000F3661"/>
    <w:pPr>
      <w:spacing w:before="100" w:beforeAutospacing="1" w:after="100" w:afterAutospacing="1" w:line="240" w:lineRule="auto"/>
      <w:jc w:val="left"/>
    </w:pPr>
    <w:rPr>
      <w:rFonts w:ascii="Arial Unicode MS" w:eastAsia="Arial Unicode MS" w:hAnsi="Arial Unicode MS" w:cs="Arial Unicode MS"/>
      <w:sz w:val="24"/>
      <w:szCs w:val="24"/>
      <w:lang w:eastAsia="de-DE"/>
    </w:rPr>
  </w:style>
  <w:style w:type="paragraph" w:customStyle="1" w:styleId="einzug">
    <w:name w:val="einzug"/>
    <w:basedOn w:val="Standard"/>
    <w:rsid w:val="000C672E"/>
    <w:pPr>
      <w:spacing w:after="0" w:line="240" w:lineRule="atLeast"/>
    </w:pPr>
    <w:rPr>
      <w:rFonts w:eastAsia="Times New Roman" w:cs="Times New Roman"/>
      <w:lang w:eastAsia="de-DE"/>
    </w:rPr>
  </w:style>
  <w:style w:type="paragraph" w:styleId="Inhaltsverzeichnisberschrift">
    <w:name w:val="TOC Heading"/>
    <w:basedOn w:val="berschrift1"/>
    <w:next w:val="Standard"/>
    <w:uiPriority w:val="39"/>
    <w:unhideWhenUsed/>
    <w:qFormat/>
    <w:rsid w:val="00432569"/>
    <w:pPr>
      <w:spacing w:after="0" w:line="259" w:lineRule="auto"/>
      <w:jc w:val="left"/>
      <w:outlineLvl w:val="9"/>
    </w:pPr>
    <w:rPr>
      <w:b w:val="0"/>
      <w:lang w:eastAsia="de-DE"/>
    </w:rPr>
  </w:style>
  <w:style w:type="paragraph" w:styleId="Verzeichnis1">
    <w:name w:val="toc 1"/>
    <w:basedOn w:val="Standard"/>
    <w:next w:val="Standard"/>
    <w:autoRedefine/>
    <w:uiPriority w:val="39"/>
    <w:unhideWhenUsed/>
    <w:rsid w:val="008B4894"/>
    <w:pPr>
      <w:spacing w:after="100"/>
      <w:ind w:left="709" w:hanging="709"/>
      <w:jc w:val="left"/>
    </w:pPr>
  </w:style>
  <w:style w:type="paragraph" w:styleId="Verzeichnis2">
    <w:name w:val="toc 2"/>
    <w:basedOn w:val="Standard"/>
    <w:next w:val="Standard"/>
    <w:autoRedefine/>
    <w:uiPriority w:val="39"/>
    <w:unhideWhenUsed/>
    <w:rsid w:val="00432569"/>
    <w:pPr>
      <w:spacing w:after="100"/>
      <w:ind w:left="220"/>
    </w:pPr>
  </w:style>
  <w:style w:type="character" w:styleId="Hyperlink">
    <w:name w:val="Hyperlink"/>
    <w:basedOn w:val="Absatz-Standardschriftart"/>
    <w:uiPriority w:val="99"/>
    <w:unhideWhenUsed/>
    <w:rsid w:val="00432569"/>
    <w:rPr>
      <w:color w:val="0563C1" w:themeColor="hyperlink"/>
      <w:u w:val="single"/>
    </w:rPr>
  </w:style>
  <w:style w:type="paragraph" w:styleId="berarbeitung">
    <w:name w:val="Revision"/>
    <w:hidden/>
    <w:uiPriority w:val="99"/>
    <w:semiHidden/>
    <w:rsid w:val="0069724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250CB-318C-4E4B-9764-D8E5CE16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10336</Words>
  <Characters>65124</Characters>
  <Application>Microsoft Office Word</Application>
  <DocSecurity>0</DocSecurity>
  <Lines>542</Lines>
  <Paragraphs>150</Paragraphs>
  <ScaleCrop>false</ScaleCrop>
  <HeadingPairs>
    <vt:vector size="2" baseType="variant">
      <vt:variant>
        <vt:lpstr>Titel</vt:lpstr>
      </vt:variant>
      <vt:variant>
        <vt:i4>1</vt:i4>
      </vt:variant>
    </vt:vector>
  </HeadingPairs>
  <TitlesOfParts>
    <vt:vector size="1" baseType="lpstr">
      <vt:lpstr/>
    </vt:vector>
  </TitlesOfParts>
  <Company>Johannes Gutenberg Universität Mainz</Company>
  <LinksUpToDate>false</LinksUpToDate>
  <CharactersWithSpaces>75310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dc:creator>
  <cp:lastModifiedBy>Theis, Marc</cp:lastModifiedBy>
  <cp:revision>3</cp:revision>
  <cp:lastPrinted>2018-03-05T13:35:00Z</cp:lastPrinted>
  <dcterms:created xsi:type="dcterms:W3CDTF">2019-09-24T13:43:00Z</dcterms:created>
  <dcterms:modified xsi:type="dcterms:W3CDTF">2022-02-04T08:22:00Z</dcterms:modified>
</cp:coreProperties>
</file>